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0B2406" w14:textId="77777777" w:rsidR="00814DF0" w:rsidRDefault="003E40A1">
      <w:pPr>
        <w:ind w:left="-567" w:right="-330"/>
        <w:rPr>
          <w:rFonts w:ascii="Arial" w:eastAsia="Arial" w:hAnsi="Arial" w:cs="Arial"/>
          <w:b/>
          <w:sz w:val="28"/>
          <w:szCs w:val="28"/>
        </w:rPr>
      </w:pPr>
      <w:bookmarkStart w:id="0" w:name="_heading=h.gjdgxs" w:colFirst="0" w:colLast="0"/>
      <w:bookmarkStart w:id="1" w:name="_GoBack"/>
      <w:bookmarkEnd w:id="0"/>
      <w:bookmarkEnd w:id="1"/>
      <w:r>
        <w:rPr>
          <w:rFonts w:ascii="Arial" w:eastAsia="Arial" w:hAnsi="Arial" w:cs="Arial"/>
          <w:b/>
          <w:sz w:val="28"/>
          <w:szCs w:val="28"/>
        </w:rPr>
        <w:t>Students as Co-Creators DRC Project Evaluation Guidelines</w:t>
      </w:r>
    </w:p>
    <w:p w14:paraId="1C71DD16" w14:textId="77777777" w:rsidR="00814DF0" w:rsidRDefault="003E40A1">
      <w:pPr>
        <w:spacing w:after="0"/>
        <w:ind w:left="-567" w:right="-330"/>
        <w:rPr>
          <w:rFonts w:ascii="Arial" w:eastAsia="Arial" w:hAnsi="Arial" w:cs="Arial"/>
        </w:rPr>
      </w:pPr>
      <w:r>
        <w:rPr>
          <w:rFonts w:ascii="Arial" w:eastAsia="Arial" w:hAnsi="Arial" w:cs="Arial"/>
        </w:rPr>
        <w:t xml:space="preserve">As you approach the end of your research project. You are expected to reflect on your findings, evaluate the research process, and think about the impact of your research. These guidelines have been created to help you write your final report.  </w:t>
      </w:r>
    </w:p>
    <w:p w14:paraId="573B65D7" w14:textId="77777777" w:rsidR="00814DF0" w:rsidRDefault="00814DF0">
      <w:pPr>
        <w:spacing w:after="0"/>
        <w:ind w:left="-567" w:right="-330"/>
        <w:rPr>
          <w:rFonts w:ascii="Arial" w:eastAsia="Arial" w:hAnsi="Arial" w:cs="Arial"/>
        </w:rPr>
      </w:pPr>
    </w:p>
    <w:p w14:paraId="1CBEC293" w14:textId="77777777" w:rsidR="00814DF0" w:rsidRDefault="003E40A1">
      <w:pPr>
        <w:spacing w:after="0"/>
        <w:ind w:left="-567" w:right="-330"/>
        <w:rPr>
          <w:rFonts w:ascii="Arial" w:eastAsia="Arial" w:hAnsi="Arial" w:cs="Arial"/>
          <w:b/>
        </w:rPr>
      </w:pPr>
      <w:r>
        <w:rPr>
          <w:rFonts w:ascii="Arial" w:eastAsia="Arial" w:hAnsi="Arial" w:cs="Arial"/>
          <w:b/>
        </w:rPr>
        <w:t>Your report should consist of the following sections:</w:t>
      </w:r>
    </w:p>
    <w:p w14:paraId="5D3B303B"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Executive Summary</w:t>
      </w:r>
    </w:p>
    <w:p w14:paraId="42B6356E"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Background and Aims</w:t>
      </w:r>
    </w:p>
    <w:p w14:paraId="632C8950"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Methods</w:t>
      </w:r>
    </w:p>
    <w:p w14:paraId="3E9C9F6C"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Results</w:t>
      </w:r>
    </w:p>
    <w:p w14:paraId="199CD884"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Discussion</w:t>
      </w:r>
    </w:p>
    <w:p w14:paraId="312AF11B"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 xml:space="preserve">Conclusion </w:t>
      </w:r>
    </w:p>
    <w:p w14:paraId="577078A4"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Lessons Learned</w:t>
      </w:r>
    </w:p>
    <w:p w14:paraId="10D111A2" w14:textId="77777777" w:rsidR="00814DF0" w:rsidRDefault="003E40A1">
      <w:pPr>
        <w:numPr>
          <w:ilvl w:val="0"/>
          <w:numId w:val="2"/>
        </w:numPr>
        <w:pBdr>
          <w:top w:val="nil"/>
          <w:left w:val="nil"/>
          <w:bottom w:val="nil"/>
          <w:right w:val="nil"/>
          <w:between w:val="nil"/>
        </w:pBdr>
        <w:spacing w:after="0"/>
        <w:ind w:right="-330"/>
        <w:rPr>
          <w:rFonts w:ascii="Arial" w:eastAsia="Arial" w:hAnsi="Arial" w:cs="Arial"/>
          <w:b/>
          <w:color w:val="000000"/>
        </w:rPr>
      </w:pPr>
      <w:r>
        <w:rPr>
          <w:rFonts w:ascii="Arial" w:eastAsia="Arial" w:hAnsi="Arial" w:cs="Arial"/>
          <w:b/>
          <w:color w:val="000000"/>
        </w:rPr>
        <w:t xml:space="preserve">Research Group Reflection </w:t>
      </w:r>
    </w:p>
    <w:p w14:paraId="3F9E3677" w14:textId="77777777" w:rsidR="00814DF0" w:rsidRDefault="00814DF0">
      <w:pPr>
        <w:spacing w:after="0"/>
        <w:ind w:right="-330"/>
        <w:rPr>
          <w:rFonts w:ascii="Arial" w:eastAsia="Arial" w:hAnsi="Arial" w:cs="Arial"/>
        </w:rPr>
      </w:pPr>
    </w:p>
    <w:p w14:paraId="339C3911" w14:textId="77777777" w:rsidR="00814DF0" w:rsidRDefault="003E40A1">
      <w:pPr>
        <w:spacing w:after="0"/>
        <w:ind w:left="-567" w:right="-330"/>
        <w:rPr>
          <w:rFonts w:ascii="Arial" w:eastAsia="Arial" w:hAnsi="Arial" w:cs="Arial"/>
        </w:rPr>
      </w:pPr>
      <w:r>
        <w:rPr>
          <w:rFonts w:ascii="Arial" w:eastAsia="Arial" w:hAnsi="Arial" w:cs="Arial"/>
        </w:rPr>
        <w:t xml:space="preserve">Only </w:t>
      </w:r>
      <w:r>
        <w:rPr>
          <w:rFonts w:ascii="Arial" w:eastAsia="Arial" w:hAnsi="Arial" w:cs="Arial"/>
          <w:color w:val="FF0000"/>
        </w:rPr>
        <w:t>one report needs to be produced per team</w:t>
      </w:r>
      <w:r>
        <w:rPr>
          <w:rFonts w:ascii="Arial" w:eastAsia="Arial" w:hAnsi="Arial" w:cs="Arial"/>
        </w:rPr>
        <w:t xml:space="preserve">. All members of the team should contribute towards writing this report. </w:t>
      </w:r>
    </w:p>
    <w:p w14:paraId="0B45FFBF" w14:textId="77777777" w:rsidR="00814DF0" w:rsidRDefault="00814DF0">
      <w:pPr>
        <w:spacing w:after="0"/>
        <w:ind w:left="-567" w:right="-330"/>
        <w:rPr>
          <w:rFonts w:ascii="Arial" w:eastAsia="Arial" w:hAnsi="Arial" w:cs="Arial"/>
        </w:rPr>
      </w:pPr>
    </w:p>
    <w:tbl>
      <w:tblPr>
        <w:tblStyle w:val="aa"/>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61AF26D0" w14:textId="77777777">
        <w:tc>
          <w:tcPr>
            <w:tcW w:w="10060" w:type="dxa"/>
          </w:tcPr>
          <w:p w14:paraId="1770E934" w14:textId="77777777" w:rsidR="00814DF0" w:rsidRDefault="003E40A1">
            <w:pPr>
              <w:ind w:right="-330"/>
              <w:rPr>
                <w:rFonts w:ascii="Arial" w:eastAsia="Arial" w:hAnsi="Arial" w:cs="Arial"/>
                <w:b/>
              </w:rPr>
            </w:pPr>
            <w:r>
              <w:rPr>
                <w:rFonts w:ascii="Arial" w:eastAsia="Arial" w:hAnsi="Arial" w:cs="Arial"/>
                <w:b/>
              </w:rPr>
              <w:t xml:space="preserve">Section 1. Abstract </w:t>
            </w:r>
            <w:r>
              <w:rPr>
                <w:rFonts w:ascii="Arial" w:eastAsia="Arial" w:hAnsi="Arial" w:cs="Arial"/>
              </w:rPr>
              <w:t>(300-400 words)</w:t>
            </w:r>
          </w:p>
        </w:tc>
      </w:tr>
      <w:tr w:rsidR="00814DF0" w14:paraId="23092895" w14:textId="77777777">
        <w:trPr>
          <w:trHeight w:val="740"/>
        </w:trPr>
        <w:tc>
          <w:tcPr>
            <w:tcW w:w="10060" w:type="dxa"/>
          </w:tcPr>
          <w:p w14:paraId="1770D8E0" w14:textId="77777777" w:rsidR="00814DF0" w:rsidRDefault="00814DF0">
            <w:pPr>
              <w:ind w:right="-330"/>
              <w:rPr>
                <w:rFonts w:ascii="Arial" w:eastAsia="Arial" w:hAnsi="Arial" w:cs="Arial"/>
              </w:rPr>
            </w:pPr>
          </w:p>
          <w:p w14:paraId="5F3CBEA6" w14:textId="77777777" w:rsidR="00814DF0" w:rsidRDefault="003E40A1">
            <w:pPr>
              <w:ind w:right="-330"/>
              <w:rPr>
                <w:rFonts w:ascii="Arial" w:eastAsia="Arial" w:hAnsi="Arial" w:cs="Arial"/>
              </w:rPr>
            </w:pPr>
            <w:r>
              <w:rPr>
                <w:rFonts w:ascii="Arial" w:eastAsia="Arial" w:hAnsi="Arial" w:cs="Arial"/>
              </w:rPr>
              <w:t xml:space="preserve">A summary of your project including what you did, why you did it, and what the outcome was               (based on your results). </w:t>
            </w:r>
          </w:p>
          <w:p w14:paraId="386AC5C4" w14:textId="77777777" w:rsidR="00814DF0" w:rsidRDefault="00814DF0">
            <w:pPr>
              <w:ind w:right="-330"/>
              <w:rPr>
                <w:rFonts w:ascii="Arial" w:eastAsia="Arial" w:hAnsi="Arial" w:cs="Arial"/>
              </w:rPr>
            </w:pPr>
          </w:p>
          <w:p w14:paraId="7331B369" w14:textId="77777777" w:rsidR="00814DF0" w:rsidRDefault="00814DF0">
            <w:pPr>
              <w:ind w:right="-330"/>
              <w:rPr>
                <w:rFonts w:ascii="Arial" w:eastAsia="Arial" w:hAnsi="Arial" w:cs="Arial"/>
              </w:rPr>
            </w:pPr>
          </w:p>
          <w:p w14:paraId="54BCC0B9" w14:textId="77777777" w:rsidR="00814DF0" w:rsidRDefault="003E40A1">
            <w:pPr>
              <w:ind w:right="-330"/>
              <w:rPr>
                <w:rFonts w:ascii="Arial" w:eastAsia="Arial" w:hAnsi="Arial" w:cs="Arial"/>
              </w:rPr>
            </w:pPr>
            <w:r>
              <w:rPr>
                <w:rFonts w:ascii="Arial" w:eastAsia="Arial" w:hAnsi="Arial" w:cs="Arial"/>
              </w:rPr>
              <w:t xml:space="preserve">The Antibiotics Undersea project has been a students as co-creators project to investigate the potential for marine bacteria isolated from UK coastal sediments to produce antibiotics to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a Gram-negative bacterium that is the leading bacteriological cause for illness associated with the consumption or manhandling of seafood products.  This species is documented as having resistance to multiple antibiotics and is a growing and global public health threat, so there is a need to find novel antibacterial compounds that target this species. An additional part of the project was to increase awareness of the global rise in antibiotic resistance by using outreach to schools and the general public.                                                                                                                                                                                                                                                                                                                                                                                                                                                                                                                                                                                                                                                                                                       </w:t>
            </w:r>
            <w:r>
              <w:t xml:space="preserve">                                                                                                                      </w:t>
            </w:r>
            <w:r>
              <w:rPr>
                <w:rFonts w:ascii="Arial" w:eastAsia="Arial" w:hAnsi="Arial" w:cs="Arial"/>
              </w:rPr>
              <w:t xml:space="preserve">To investigate the antibacterial compounds that may be produced by marine bacteria against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rPr>
              <w:t xml:space="preserve">, six marine bacteria cultures were chosen according to either their demonstrated antagonist effect to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rPr>
              <w:t xml:space="preserve"> in our previous project ‘Antibiotics Unearthed’ or their novel colony morphology in comparison to other bacteria in our culture collection. The chosen cultures were re-isolated and grown in liquid culture to the stationary phase of growth, where the crude broth was removed and used in a disc diffusion assay against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 The results have shown that using the methods we adopted, none of the chosen cultures produced antimicrobial compounds against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 Limitations to the methods used focus on the fact that these are bacteria isolated from environmental samples, their optimal conditions for growth are currently unknown and we are unsure whether changing growth conditions or growth phase may yield potential antibacterial compounds or perhaps whether the presence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in an antagonistic approach may be required for antibiotic production to this species. In addition, the crude broth was used for the disc diffusion assay and it may be necessary to concentrate the samples, considering production of compounds by the marine bacteria may be at a low concentration.  This is the first time that these particular marine bacteria have been brought into liquid culture and we have provided the first reported colony descriptions for these cultures.  There is also the possibility that the marine bacteria in this study may produce compounds that inhibit the growth of different pathogenic bacteria other than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w:t>
            </w:r>
            <w:r>
              <w:rPr>
                <w:rFonts w:ascii="Arial" w:eastAsia="Arial" w:hAnsi="Arial" w:cs="Arial"/>
              </w:rPr>
              <w:t xml:space="preserve">  We will build on our findings to continue further investigations on these marine bacteria, and continue to screen other marine bacteria in our culture collection in the future.</w:t>
            </w:r>
          </w:p>
          <w:p w14:paraId="683A6387" w14:textId="77777777" w:rsidR="00814DF0" w:rsidRDefault="00814DF0">
            <w:pPr>
              <w:ind w:right="-330"/>
              <w:rPr>
                <w:rFonts w:ascii="Arial" w:eastAsia="Arial" w:hAnsi="Arial" w:cs="Arial"/>
              </w:rPr>
            </w:pPr>
          </w:p>
        </w:tc>
      </w:tr>
      <w:tr w:rsidR="00814DF0" w14:paraId="48AB2771" w14:textId="77777777">
        <w:tc>
          <w:tcPr>
            <w:tcW w:w="10060" w:type="dxa"/>
          </w:tcPr>
          <w:p w14:paraId="31669D3E" w14:textId="77777777" w:rsidR="00814DF0" w:rsidRDefault="003E40A1">
            <w:pPr>
              <w:ind w:right="-330"/>
              <w:rPr>
                <w:rFonts w:ascii="Arial" w:eastAsia="Arial" w:hAnsi="Arial" w:cs="Arial"/>
                <w:i/>
              </w:rPr>
            </w:pPr>
            <w:r>
              <w:rPr>
                <w:rFonts w:ascii="Arial" w:eastAsia="Arial" w:hAnsi="Arial" w:cs="Arial"/>
                <w:i/>
              </w:rPr>
              <w:t>Tip: it might be a good idea to write this section last, although it needs to be at the beginning of your report.</w:t>
            </w:r>
          </w:p>
        </w:tc>
      </w:tr>
    </w:tbl>
    <w:p w14:paraId="691504AC" w14:textId="77777777" w:rsidR="00814DF0" w:rsidRDefault="00814DF0">
      <w:pPr>
        <w:spacing w:after="0"/>
        <w:ind w:left="-567" w:right="-330"/>
        <w:rPr>
          <w:rFonts w:ascii="Arial" w:eastAsia="Arial" w:hAnsi="Arial" w:cs="Arial"/>
          <w:i/>
        </w:rPr>
      </w:pPr>
    </w:p>
    <w:tbl>
      <w:tblPr>
        <w:tblStyle w:val="ab"/>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38100666" w14:textId="77777777">
        <w:tc>
          <w:tcPr>
            <w:tcW w:w="10060" w:type="dxa"/>
          </w:tcPr>
          <w:p w14:paraId="66612687" w14:textId="77777777" w:rsidR="00814DF0" w:rsidRDefault="003E40A1">
            <w:pPr>
              <w:ind w:right="-330"/>
              <w:rPr>
                <w:rFonts w:ascii="Arial" w:eastAsia="Arial" w:hAnsi="Arial" w:cs="Arial"/>
                <w:b/>
              </w:rPr>
            </w:pPr>
            <w:r>
              <w:rPr>
                <w:rFonts w:ascii="Arial" w:eastAsia="Arial" w:hAnsi="Arial" w:cs="Arial"/>
                <w:b/>
              </w:rPr>
              <w:t xml:space="preserve">Section 2. Background and Aims </w:t>
            </w:r>
            <w:r>
              <w:rPr>
                <w:rFonts w:ascii="Arial" w:eastAsia="Arial" w:hAnsi="Arial" w:cs="Arial"/>
              </w:rPr>
              <w:t>(200-300 words)</w:t>
            </w:r>
          </w:p>
        </w:tc>
      </w:tr>
      <w:tr w:rsidR="00814DF0" w14:paraId="1D2EAF88" w14:textId="77777777">
        <w:trPr>
          <w:trHeight w:val="3140"/>
        </w:trPr>
        <w:tc>
          <w:tcPr>
            <w:tcW w:w="10060" w:type="dxa"/>
          </w:tcPr>
          <w:p w14:paraId="59D24C79" w14:textId="77777777" w:rsidR="00814DF0" w:rsidRDefault="003E40A1">
            <w:pPr>
              <w:ind w:right="-330"/>
              <w:rPr>
                <w:rFonts w:ascii="Arial" w:eastAsia="Arial" w:hAnsi="Arial" w:cs="Arial"/>
              </w:rPr>
            </w:pPr>
            <w:r>
              <w:rPr>
                <w:rFonts w:ascii="Arial" w:eastAsia="Arial" w:hAnsi="Arial" w:cs="Arial"/>
                <w:i/>
              </w:rPr>
              <w:t>Background</w:t>
            </w:r>
            <w:r>
              <w:rPr>
                <w:rFonts w:ascii="Arial" w:eastAsia="Arial" w:hAnsi="Arial" w:cs="Arial"/>
              </w:rPr>
              <w:t xml:space="preserve">: </w:t>
            </w:r>
          </w:p>
          <w:p w14:paraId="73CC9A7E" w14:textId="77777777" w:rsidR="00814DF0" w:rsidRDefault="003E40A1">
            <w:pPr>
              <w:ind w:right="-330"/>
              <w:rPr>
                <w:rFonts w:ascii="Arial" w:eastAsia="Arial" w:hAnsi="Arial" w:cs="Arial"/>
              </w:rPr>
            </w:pPr>
            <w:r>
              <w:rPr>
                <w:rFonts w:ascii="Arial" w:eastAsia="Arial" w:hAnsi="Arial" w:cs="Arial"/>
              </w:rPr>
              <w:t xml:space="preserve">For this students as co-creators project we decided to target the bacteria species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which is the leading bacteriological cause of illness associated with seafood consumption of which there has been a global expansion of reported cases over the last two decades </w:t>
            </w:r>
            <w:proofErr w:type="gramStart"/>
            <w:r>
              <w:rPr>
                <w:rFonts w:ascii="Arial" w:eastAsia="Arial" w:hAnsi="Arial" w:cs="Arial"/>
              </w:rPr>
              <w:t>( see</w:t>
            </w:r>
            <w:proofErr w:type="gramEnd"/>
            <w:r>
              <w:rPr>
                <w:rFonts w:ascii="Arial" w:eastAsia="Arial" w:hAnsi="Arial" w:cs="Arial"/>
              </w:rPr>
              <w:t xml:space="preserve"> Martinez-</w:t>
            </w:r>
            <w:proofErr w:type="spellStart"/>
            <w:r>
              <w:rPr>
                <w:rFonts w:ascii="Arial" w:eastAsia="Arial" w:hAnsi="Arial" w:cs="Arial"/>
              </w:rPr>
              <w:t>Urtaza</w:t>
            </w:r>
            <w:proofErr w:type="spellEnd"/>
            <w:r>
              <w:rPr>
                <w:rFonts w:ascii="Arial" w:eastAsia="Arial" w:hAnsi="Arial" w:cs="Arial"/>
              </w:rPr>
              <w:t xml:space="preserve"> et al., 2018). In addition there is emerging evidence that suggests this species can survive on plastic waste in the oceans and may contribute to the death of </w:t>
            </w:r>
            <w:proofErr w:type="gramStart"/>
            <w:r>
              <w:rPr>
                <w:rFonts w:ascii="Arial" w:eastAsia="Arial" w:hAnsi="Arial" w:cs="Arial"/>
              </w:rPr>
              <w:t>coral  (</w:t>
            </w:r>
            <w:proofErr w:type="gramEnd"/>
            <w:r>
              <w:rPr>
                <w:rFonts w:ascii="Arial" w:eastAsia="Arial" w:hAnsi="Arial" w:cs="Arial"/>
              </w:rPr>
              <w:t xml:space="preserve">Kirstein et al., 2016) .Of particular concern is that many reports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indicate multiple antibiotic resistance for this species; with resistance mainly being attributed to misuse of antibiotics to control infections in aquaculture production (</w:t>
            </w:r>
            <w:proofErr w:type="spellStart"/>
            <w:r>
              <w:rPr>
                <w:rFonts w:ascii="Arial" w:eastAsia="Arial" w:hAnsi="Arial" w:cs="Arial"/>
              </w:rPr>
              <w:t>Elmahdi</w:t>
            </w:r>
            <w:proofErr w:type="spellEnd"/>
            <w:r>
              <w:rPr>
                <w:rFonts w:ascii="Arial" w:eastAsia="Arial" w:hAnsi="Arial" w:cs="Arial"/>
              </w:rPr>
              <w:t xml:space="preserve"> et al., 2016).  </w:t>
            </w:r>
          </w:p>
          <w:p w14:paraId="0B4FBA21" w14:textId="77777777" w:rsidR="00814DF0" w:rsidRDefault="003E40A1">
            <w:pPr>
              <w:ind w:right="-330"/>
              <w:rPr>
                <w:rFonts w:ascii="Arial" w:eastAsia="Arial" w:hAnsi="Arial" w:cs="Arial"/>
              </w:rPr>
            </w:pPr>
            <w:r>
              <w:rPr>
                <w:rFonts w:ascii="Arial" w:eastAsia="Arial" w:hAnsi="Arial" w:cs="Arial"/>
              </w:rPr>
              <w:t xml:space="preserve">This project builds on the previous work of our 2017-18 Antibiotics Unearthed project in which we generated a collection of 40 marine bacteria cultures from marine coastal sediments around the UK.  Marine bacteria have been found to be a resource for novel metabolites and it has been documented that they can produce small molecules that exert antagonistic effects against other marine organisms (see review by </w:t>
            </w:r>
            <w:proofErr w:type="spellStart"/>
            <w:r>
              <w:rPr>
                <w:rFonts w:ascii="Arial" w:eastAsia="Arial" w:hAnsi="Arial" w:cs="Arial"/>
              </w:rPr>
              <w:t>Weitz</w:t>
            </w:r>
            <w:proofErr w:type="spellEnd"/>
            <w:r>
              <w:rPr>
                <w:rFonts w:ascii="Arial" w:eastAsia="Arial" w:hAnsi="Arial" w:cs="Arial"/>
              </w:rPr>
              <w:t xml:space="preserve"> et </w:t>
            </w:r>
            <w:proofErr w:type="gramStart"/>
            <w:r>
              <w:rPr>
                <w:rFonts w:ascii="Arial" w:eastAsia="Arial" w:hAnsi="Arial" w:cs="Arial"/>
              </w:rPr>
              <w:t>al .</w:t>
            </w:r>
            <w:proofErr w:type="gramEnd"/>
            <w:r>
              <w:rPr>
                <w:rFonts w:ascii="Arial" w:eastAsia="Arial" w:hAnsi="Arial" w:cs="Arial"/>
              </w:rPr>
              <w:t xml:space="preserve">, 2013) although the </w:t>
            </w:r>
            <w:r>
              <w:rPr>
                <w:rFonts w:ascii="Arial" w:eastAsia="Arial" w:hAnsi="Arial" w:cs="Arial"/>
                <w:color w:val="1C1D1E"/>
                <w:highlight w:val="white"/>
              </w:rPr>
              <w:t xml:space="preserve">potential for their use in </w:t>
            </w:r>
            <w:proofErr w:type="spellStart"/>
            <w:r>
              <w:rPr>
                <w:rFonts w:ascii="Arial" w:eastAsia="Arial" w:hAnsi="Arial" w:cs="Arial"/>
                <w:color w:val="1C1D1E"/>
                <w:highlight w:val="white"/>
              </w:rPr>
              <w:t>biodiscovery</w:t>
            </w:r>
            <w:proofErr w:type="spellEnd"/>
            <w:r>
              <w:rPr>
                <w:rFonts w:ascii="Arial" w:eastAsia="Arial" w:hAnsi="Arial" w:cs="Arial"/>
                <w:color w:val="1C1D1E"/>
                <w:highlight w:val="white"/>
              </w:rPr>
              <w:t xml:space="preserve"> has been severely limited by the lack of laboratory cultures (Joint et al., 2010)</w:t>
            </w:r>
            <w:r>
              <w:rPr>
                <w:rFonts w:ascii="Arial" w:eastAsia="Arial" w:hAnsi="Arial" w:cs="Arial"/>
                <w:color w:val="1C1D1E"/>
                <w:sz w:val="24"/>
                <w:szCs w:val="24"/>
                <w:highlight w:val="white"/>
              </w:rPr>
              <w:t xml:space="preserve">.   </w:t>
            </w:r>
            <w:r>
              <w:rPr>
                <w:rFonts w:ascii="Arial" w:eastAsia="Arial" w:hAnsi="Arial" w:cs="Arial"/>
              </w:rPr>
              <w:t xml:space="preserve">Since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is a species found in marine systems we anticipate that other marine bacteria may produce compounds that inhibit their growth and this has been the basis for our research.</w:t>
            </w:r>
          </w:p>
          <w:p w14:paraId="0CA43C43" w14:textId="77777777" w:rsidR="00814DF0" w:rsidRDefault="00814DF0">
            <w:pPr>
              <w:ind w:right="-330"/>
              <w:rPr>
                <w:rFonts w:ascii="Arial" w:eastAsia="Arial" w:hAnsi="Arial" w:cs="Arial"/>
              </w:rPr>
            </w:pPr>
          </w:p>
          <w:p w14:paraId="13A899A1" w14:textId="77777777" w:rsidR="00814DF0" w:rsidRDefault="003E40A1">
            <w:pPr>
              <w:ind w:right="-330"/>
              <w:rPr>
                <w:rFonts w:ascii="Arial" w:eastAsia="Arial" w:hAnsi="Arial" w:cs="Arial"/>
                <w:i/>
              </w:rPr>
            </w:pPr>
            <w:r>
              <w:rPr>
                <w:rFonts w:ascii="Arial" w:eastAsia="Arial" w:hAnsi="Arial" w:cs="Arial"/>
                <w:i/>
              </w:rPr>
              <w:t>Aims and objectives:</w:t>
            </w:r>
          </w:p>
          <w:p w14:paraId="461A6D4F" w14:textId="77777777" w:rsidR="00814DF0" w:rsidRDefault="003E40A1">
            <w:pPr>
              <w:rPr>
                <w:rFonts w:ascii="Arial" w:eastAsia="Arial" w:hAnsi="Arial" w:cs="Arial"/>
              </w:rPr>
            </w:pPr>
            <w:r>
              <w:rPr>
                <w:rFonts w:ascii="Arial" w:eastAsia="Arial" w:hAnsi="Arial" w:cs="Arial"/>
              </w:rPr>
              <w:t xml:space="preserve">The aim of the project was to determine whether any of the marine bacteria from the University of Westminster marine bacteria culture collection produce compounds that will inhibit the growth of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rPr>
              <w:t>.</w:t>
            </w:r>
          </w:p>
          <w:p w14:paraId="7EE055E6" w14:textId="77777777" w:rsidR="00814DF0" w:rsidRDefault="00814DF0">
            <w:pPr>
              <w:ind w:right="-330"/>
              <w:rPr>
                <w:rFonts w:ascii="Arial" w:eastAsia="Arial" w:hAnsi="Arial" w:cs="Arial"/>
                <w:i/>
              </w:rPr>
            </w:pPr>
          </w:p>
          <w:p w14:paraId="7F4C4F76" w14:textId="77777777" w:rsidR="00814DF0" w:rsidRDefault="003E40A1">
            <w:pPr>
              <w:ind w:right="-330"/>
              <w:rPr>
                <w:rFonts w:ascii="Arial" w:eastAsia="Arial" w:hAnsi="Arial" w:cs="Arial"/>
              </w:rPr>
            </w:pPr>
            <w:r>
              <w:rPr>
                <w:rFonts w:ascii="Arial" w:eastAsia="Arial" w:hAnsi="Arial" w:cs="Arial"/>
              </w:rPr>
              <w:t>To achieve this the objectives were:</w:t>
            </w:r>
          </w:p>
          <w:p w14:paraId="2D916C43" w14:textId="77777777" w:rsidR="00814DF0" w:rsidRDefault="00814DF0">
            <w:pPr>
              <w:ind w:right="-330"/>
              <w:rPr>
                <w:rFonts w:ascii="Arial" w:eastAsia="Arial" w:hAnsi="Arial" w:cs="Arial"/>
              </w:rPr>
            </w:pPr>
          </w:p>
          <w:p w14:paraId="3EF30CB3" w14:textId="77777777" w:rsidR="00814DF0" w:rsidRDefault="003E40A1">
            <w:pPr>
              <w:numPr>
                <w:ilvl w:val="0"/>
                <w:numId w:val="1"/>
              </w:numPr>
              <w:ind w:right="-330"/>
              <w:rPr>
                <w:rFonts w:ascii="Arial" w:eastAsia="Arial" w:hAnsi="Arial" w:cs="Arial"/>
              </w:rPr>
            </w:pPr>
            <w:r>
              <w:rPr>
                <w:rFonts w:ascii="Arial" w:eastAsia="Arial" w:hAnsi="Arial" w:cs="Arial"/>
              </w:rPr>
              <w:t>Re-isolation of all marine bacteria from the marine culture collection -to maintain the culture collection and produce ‘fresh’ cultures to work with.</w:t>
            </w:r>
          </w:p>
          <w:p w14:paraId="0D3AF803" w14:textId="77777777" w:rsidR="00814DF0" w:rsidRDefault="003E40A1">
            <w:pPr>
              <w:numPr>
                <w:ilvl w:val="0"/>
                <w:numId w:val="1"/>
              </w:numPr>
              <w:ind w:right="-330"/>
              <w:rPr>
                <w:rFonts w:ascii="Arial" w:eastAsia="Arial" w:hAnsi="Arial" w:cs="Arial"/>
              </w:rPr>
            </w:pPr>
            <w:r>
              <w:rPr>
                <w:rFonts w:ascii="Arial" w:eastAsia="Arial" w:hAnsi="Arial" w:cs="Arial"/>
              </w:rPr>
              <w:t>Growth of marine bacteria in liquid broth -so that cell extracts could be used for testing</w:t>
            </w:r>
          </w:p>
          <w:p w14:paraId="2A493B6C" w14:textId="77777777" w:rsidR="00814DF0" w:rsidRDefault="003E40A1">
            <w:pPr>
              <w:numPr>
                <w:ilvl w:val="0"/>
                <w:numId w:val="1"/>
              </w:numPr>
              <w:ind w:right="-330"/>
              <w:rPr>
                <w:rFonts w:ascii="Arial" w:eastAsia="Arial" w:hAnsi="Arial" w:cs="Arial"/>
              </w:rPr>
            </w:pPr>
            <w:r>
              <w:rPr>
                <w:rFonts w:ascii="Arial" w:eastAsia="Arial" w:hAnsi="Arial" w:cs="Arial"/>
              </w:rPr>
              <w:t xml:space="preserve">Preparation of disc diffusion assays to test the marine bacteria extracts to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w:t>
            </w:r>
            <w:r>
              <w:rPr>
                <w:rFonts w:ascii="Arial" w:eastAsia="Arial" w:hAnsi="Arial" w:cs="Arial"/>
              </w:rPr>
              <w:t xml:space="preserve"> with measurement of zone of inhibition to determine any inhibition.</w:t>
            </w:r>
          </w:p>
          <w:p w14:paraId="567957C7" w14:textId="77777777" w:rsidR="00814DF0" w:rsidRDefault="00814DF0">
            <w:pPr>
              <w:ind w:left="720" w:right="-330"/>
              <w:rPr>
                <w:rFonts w:ascii="Arial" w:eastAsia="Arial" w:hAnsi="Arial" w:cs="Arial"/>
              </w:rPr>
            </w:pPr>
          </w:p>
          <w:p w14:paraId="08295A51" w14:textId="77777777" w:rsidR="00814DF0" w:rsidRDefault="00814DF0">
            <w:pPr>
              <w:ind w:right="-330"/>
              <w:rPr>
                <w:rFonts w:ascii="Arial" w:eastAsia="Arial" w:hAnsi="Arial" w:cs="Arial"/>
              </w:rPr>
            </w:pPr>
          </w:p>
          <w:p w14:paraId="357A93EB" w14:textId="77777777" w:rsidR="00814DF0" w:rsidRDefault="003E40A1">
            <w:pPr>
              <w:ind w:right="-330"/>
              <w:rPr>
                <w:rFonts w:ascii="Arial" w:eastAsia="Arial" w:hAnsi="Arial" w:cs="Arial"/>
              </w:rPr>
            </w:pPr>
            <w:r>
              <w:rPr>
                <w:rFonts w:ascii="Arial" w:eastAsia="Arial" w:hAnsi="Arial" w:cs="Arial"/>
                <w:i/>
              </w:rPr>
              <w:t>How do you think this research will impact YOUR learning and teaching?</w:t>
            </w:r>
          </w:p>
          <w:p w14:paraId="3A896494" w14:textId="77777777" w:rsidR="00814DF0" w:rsidRDefault="003E40A1">
            <w:pPr>
              <w:ind w:right="-330"/>
              <w:rPr>
                <w:rFonts w:ascii="Arial" w:eastAsia="Arial" w:hAnsi="Arial" w:cs="Arial"/>
              </w:rPr>
            </w:pPr>
            <w:r>
              <w:rPr>
                <w:rFonts w:ascii="Arial" w:eastAsia="Arial" w:hAnsi="Arial" w:cs="Arial"/>
              </w:rPr>
              <w:t xml:space="preserve">Throughout the project, it was considered that many laboratory techniques would be adopted, and so the students could practice the skills already learnt during their academic year as well as learn new ones. This would help the students to be more confident in the laboratory environment and be particularly helpful when it came to the third-year research project. </w:t>
            </w:r>
          </w:p>
          <w:p w14:paraId="43E4632C" w14:textId="77777777" w:rsidR="00814DF0" w:rsidRDefault="003E40A1">
            <w:pPr>
              <w:ind w:right="-330"/>
              <w:rPr>
                <w:rFonts w:ascii="Arial" w:eastAsia="Arial" w:hAnsi="Arial" w:cs="Arial"/>
              </w:rPr>
            </w:pPr>
            <w:r>
              <w:rPr>
                <w:rFonts w:ascii="Arial" w:eastAsia="Arial" w:hAnsi="Arial" w:cs="Arial"/>
              </w:rPr>
              <w:t>As, the students were assisting the academic staff to build the project, they would be able to understand the amount of time taken for each duty scheduled. Consequently, the skill of managing the laboratory time would be useful not only for the third-year project but also for future employment.</w:t>
            </w:r>
          </w:p>
          <w:p w14:paraId="2BBD6DEC" w14:textId="77777777" w:rsidR="00814DF0" w:rsidRDefault="003E40A1">
            <w:pPr>
              <w:ind w:right="-330"/>
              <w:rPr>
                <w:rFonts w:ascii="Arial" w:eastAsia="Arial" w:hAnsi="Arial" w:cs="Arial"/>
              </w:rPr>
            </w:pPr>
            <w:r>
              <w:rPr>
                <w:rFonts w:ascii="Arial" w:eastAsia="Arial" w:hAnsi="Arial" w:cs="Arial"/>
              </w:rPr>
              <w:t xml:space="preserve">Moreover, students from different years of study and different courses would come to know each other, so different personalities and types of knowledge would be shared during the sessions. As well, the lecturer being present during laboratory sessions would be essential for the supervision of laboratory skills and to strengthen the professional relationship between students and academic staff. Good team working as well as good time management would be required to complete the laboratory sessions.  </w:t>
            </w:r>
          </w:p>
        </w:tc>
      </w:tr>
      <w:tr w:rsidR="00814DF0" w14:paraId="54F36D82" w14:textId="77777777">
        <w:trPr>
          <w:trHeight w:val="1160"/>
        </w:trPr>
        <w:tc>
          <w:tcPr>
            <w:tcW w:w="10060" w:type="dxa"/>
          </w:tcPr>
          <w:p w14:paraId="2310C21C" w14:textId="77777777" w:rsidR="00814DF0" w:rsidRDefault="00814DF0">
            <w:pPr>
              <w:pBdr>
                <w:top w:val="nil"/>
                <w:left w:val="nil"/>
                <w:bottom w:val="nil"/>
                <w:right w:val="nil"/>
                <w:between w:val="nil"/>
              </w:pBdr>
              <w:spacing w:after="160" w:line="259" w:lineRule="auto"/>
              <w:ind w:right="-330"/>
              <w:rPr>
                <w:rFonts w:ascii="Arial" w:eastAsia="Arial" w:hAnsi="Arial" w:cs="Arial"/>
                <w:i/>
                <w:color w:val="000000"/>
              </w:rPr>
            </w:pPr>
          </w:p>
        </w:tc>
      </w:tr>
    </w:tbl>
    <w:p w14:paraId="19BCFD0E" w14:textId="77777777" w:rsidR="00814DF0" w:rsidRDefault="00814DF0">
      <w:pPr>
        <w:spacing w:after="0"/>
        <w:ind w:right="-330"/>
        <w:rPr>
          <w:rFonts w:ascii="Arial" w:eastAsia="Arial" w:hAnsi="Arial" w:cs="Arial"/>
          <w:b/>
        </w:rPr>
      </w:pPr>
    </w:p>
    <w:tbl>
      <w:tblPr>
        <w:tblStyle w:val="ac"/>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219FBF5B" w14:textId="77777777">
        <w:tc>
          <w:tcPr>
            <w:tcW w:w="10060" w:type="dxa"/>
          </w:tcPr>
          <w:p w14:paraId="0244B9FD" w14:textId="77777777" w:rsidR="00814DF0" w:rsidRDefault="003E40A1">
            <w:pPr>
              <w:ind w:right="-330"/>
              <w:rPr>
                <w:rFonts w:ascii="Arial" w:eastAsia="Arial" w:hAnsi="Arial" w:cs="Arial"/>
                <w:b/>
              </w:rPr>
            </w:pPr>
            <w:r>
              <w:rPr>
                <w:rFonts w:ascii="Arial" w:eastAsia="Arial" w:hAnsi="Arial" w:cs="Arial"/>
                <w:b/>
              </w:rPr>
              <w:t xml:space="preserve">Section 3. Methods </w:t>
            </w:r>
            <w:r>
              <w:rPr>
                <w:rFonts w:ascii="Arial" w:eastAsia="Arial" w:hAnsi="Arial" w:cs="Arial"/>
              </w:rPr>
              <w:t>(150-300 words)</w:t>
            </w:r>
          </w:p>
        </w:tc>
      </w:tr>
      <w:tr w:rsidR="00814DF0" w14:paraId="0CEE4AC2" w14:textId="77777777">
        <w:trPr>
          <w:trHeight w:val="420"/>
        </w:trPr>
        <w:tc>
          <w:tcPr>
            <w:tcW w:w="10060" w:type="dxa"/>
          </w:tcPr>
          <w:p w14:paraId="087CD27E" w14:textId="77777777" w:rsidR="00814DF0" w:rsidRDefault="00814DF0">
            <w:pPr>
              <w:ind w:right="-330"/>
              <w:rPr>
                <w:rFonts w:ascii="Arial" w:eastAsia="Arial" w:hAnsi="Arial" w:cs="Arial"/>
              </w:rPr>
            </w:pPr>
          </w:p>
          <w:p w14:paraId="37A3DA61" w14:textId="77777777" w:rsidR="00814DF0" w:rsidRDefault="003E40A1">
            <w:pPr>
              <w:ind w:right="-330"/>
              <w:rPr>
                <w:rFonts w:ascii="Arial" w:eastAsia="Arial" w:hAnsi="Arial" w:cs="Arial"/>
              </w:rPr>
            </w:pPr>
            <w:r>
              <w:rPr>
                <w:rFonts w:ascii="Arial" w:eastAsia="Arial" w:hAnsi="Arial" w:cs="Arial"/>
              </w:rPr>
              <w:t xml:space="preserve">Prior to beginning the laboratory work, ethics approval was sought and granted and a COSHH and risk assessment was completed to consider the methods and risks of working with the marine bacteria and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 xml:space="preserve"> - </w:t>
            </w:r>
            <w:r>
              <w:rPr>
                <w:rFonts w:ascii="Arial" w:eastAsia="Arial" w:hAnsi="Arial" w:cs="Arial"/>
              </w:rPr>
              <w:t xml:space="preserve">a Class 2 bacteria with pathogenic potential.  Risk reduction procedures were discussed, noted and executed and all work took place in Class 2 designated laboratories using appropriate procedures.  A project laboratory notebook was set up for data recording, alongside a </w:t>
            </w:r>
            <w:proofErr w:type="spellStart"/>
            <w:r>
              <w:rPr>
                <w:rFonts w:ascii="Arial" w:eastAsia="Arial" w:hAnsi="Arial" w:cs="Arial"/>
              </w:rPr>
              <w:t>Benchling</w:t>
            </w:r>
            <w:proofErr w:type="spellEnd"/>
            <w:r>
              <w:rPr>
                <w:rFonts w:ascii="Arial" w:eastAsia="Arial" w:hAnsi="Arial" w:cs="Arial"/>
              </w:rPr>
              <w:t xml:space="preserve"> ‘online’ notebook.</w:t>
            </w:r>
          </w:p>
          <w:p w14:paraId="23FD9454" w14:textId="77777777" w:rsidR="00814DF0" w:rsidRDefault="00814DF0">
            <w:pPr>
              <w:ind w:right="-330"/>
              <w:rPr>
                <w:rFonts w:ascii="Arial" w:eastAsia="Arial" w:hAnsi="Arial" w:cs="Arial"/>
              </w:rPr>
            </w:pPr>
          </w:p>
          <w:p w14:paraId="5230333B" w14:textId="77777777" w:rsidR="00814DF0" w:rsidRDefault="003E40A1">
            <w:pPr>
              <w:ind w:right="-330"/>
              <w:rPr>
                <w:rFonts w:ascii="Arial" w:eastAsia="Arial" w:hAnsi="Arial" w:cs="Arial"/>
              </w:rPr>
            </w:pPr>
            <w:r>
              <w:rPr>
                <w:rFonts w:ascii="Arial" w:eastAsia="Arial" w:hAnsi="Arial" w:cs="Arial"/>
              </w:rPr>
              <w:t xml:space="preserve">Due to Linda Percy (project supervisor) being on extended sick leave during the academic year the project had to be streamlined to take into consideration time constraints and student availability.  It was decided that the project would focus on marine bacteria cultures (4) that had shown some inhibition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in microbial antagonism experiments in the previous Antibiotics Unearthed project with 2 additional cultures chosen for analysis due to unique features to other cultures in the collection (Table 1).</w:t>
            </w:r>
          </w:p>
          <w:p w14:paraId="1E2A3AAC" w14:textId="77777777" w:rsidR="00814DF0" w:rsidRDefault="00814DF0">
            <w:pPr>
              <w:ind w:right="-330"/>
              <w:rPr>
                <w:rFonts w:ascii="Arial" w:eastAsia="Arial" w:hAnsi="Arial" w:cs="Arial"/>
              </w:rPr>
            </w:pPr>
          </w:p>
          <w:tbl>
            <w:tblPr>
              <w:tblStyle w:val="ad"/>
              <w:tblW w:w="9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86"/>
              <w:gridCol w:w="3287"/>
              <w:gridCol w:w="3287"/>
            </w:tblGrid>
            <w:tr w:rsidR="00814DF0" w14:paraId="4D4B55A7" w14:textId="77777777">
              <w:tc>
                <w:tcPr>
                  <w:tcW w:w="3286" w:type="dxa"/>
                  <w:shd w:val="clear" w:color="auto" w:fill="auto"/>
                  <w:tcMar>
                    <w:top w:w="100" w:type="dxa"/>
                    <w:left w:w="100" w:type="dxa"/>
                    <w:bottom w:w="100" w:type="dxa"/>
                    <w:right w:w="100" w:type="dxa"/>
                  </w:tcMar>
                </w:tcPr>
                <w:p w14:paraId="5519A2F6"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Site of Origin</w:t>
                  </w:r>
                </w:p>
              </w:tc>
              <w:tc>
                <w:tcPr>
                  <w:tcW w:w="3287" w:type="dxa"/>
                  <w:shd w:val="clear" w:color="auto" w:fill="auto"/>
                  <w:tcMar>
                    <w:top w:w="100" w:type="dxa"/>
                    <w:left w:w="100" w:type="dxa"/>
                    <w:bottom w:w="100" w:type="dxa"/>
                    <w:right w:w="100" w:type="dxa"/>
                  </w:tcMar>
                </w:tcPr>
                <w:p w14:paraId="538DA656"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Culture Name</w:t>
                  </w:r>
                </w:p>
              </w:tc>
              <w:tc>
                <w:tcPr>
                  <w:tcW w:w="3287" w:type="dxa"/>
                  <w:shd w:val="clear" w:color="auto" w:fill="auto"/>
                  <w:tcMar>
                    <w:top w:w="100" w:type="dxa"/>
                    <w:left w:w="100" w:type="dxa"/>
                    <w:bottom w:w="100" w:type="dxa"/>
                    <w:right w:w="100" w:type="dxa"/>
                  </w:tcMar>
                </w:tcPr>
                <w:p w14:paraId="7C330B74"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Reason for use</w:t>
                  </w:r>
                </w:p>
              </w:tc>
            </w:tr>
            <w:tr w:rsidR="00814DF0" w14:paraId="1F52422F" w14:textId="77777777">
              <w:tc>
                <w:tcPr>
                  <w:tcW w:w="3286" w:type="dxa"/>
                  <w:shd w:val="clear" w:color="auto" w:fill="auto"/>
                  <w:tcMar>
                    <w:top w:w="100" w:type="dxa"/>
                    <w:left w:w="100" w:type="dxa"/>
                    <w:bottom w:w="100" w:type="dxa"/>
                    <w:right w:w="100" w:type="dxa"/>
                  </w:tcMar>
                </w:tcPr>
                <w:p w14:paraId="5E21D2E4"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Port William (Scotland- West)</w:t>
                  </w:r>
                </w:p>
              </w:tc>
              <w:tc>
                <w:tcPr>
                  <w:tcW w:w="3287" w:type="dxa"/>
                  <w:shd w:val="clear" w:color="auto" w:fill="auto"/>
                  <w:tcMar>
                    <w:top w:w="100" w:type="dxa"/>
                    <w:left w:w="100" w:type="dxa"/>
                    <w:bottom w:w="100" w:type="dxa"/>
                    <w:right w:w="100" w:type="dxa"/>
                  </w:tcMar>
                </w:tcPr>
                <w:p w14:paraId="52A44BE5"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PW5</w:t>
                  </w:r>
                </w:p>
              </w:tc>
              <w:tc>
                <w:tcPr>
                  <w:tcW w:w="3287" w:type="dxa"/>
                  <w:shd w:val="clear" w:color="auto" w:fill="auto"/>
                  <w:tcMar>
                    <w:top w:w="100" w:type="dxa"/>
                    <w:left w:w="100" w:type="dxa"/>
                    <w:bottom w:w="100" w:type="dxa"/>
                    <w:right w:w="100" w:type="dxa"/>
                  </w:tcMar>
                </w:tcPr>
                <w:p w14:paraId="04006C95" w14:textId="77777777" w:rsidR="00814DF0" w:rsidRDefault="003E40A1">
                  <w:pPr>
                    <w:widowControl w:val="0"/>
                    <w:pBdr>
                      <w:top w:val="nil"/>
                      <w:left w:val="nil"/>
                      <w:bottom w:val="nil"/>
                      <w:right w:val="nil"/>
                      <w:between w:val="nil"/>
                    </w:pBdr>
                    <w:rPr>
                      <w:rFonts w:ascii="Arial" w:eastAsia="Arial" w:hAnsi="Arial" w:cs="Arial"/>
                    </w:rPr>
                  </w:pPr>
                  <w:r>
                    <w:rPr>
                      <w:rFonts w:ascii="Arial" w:eastAsia="Arial" w:hAnsi="Arial" w:cs="Arial"/>
                    </w:rPr>
                    <w:t xml:space="preserve">Some inhibition of </w:t>
                  </w:r>
                  <w:proofErr w:type="spellStart"/>
                  <w:r>
                    <w:rPr>
                      <w:rFonts w:ascii="Arial" w:eastAsia="Arial" w:hAnsi="Arial" w:cs="Arial"/>
                      <w:i/>
                    </w:rPr>
                    <w:t>V.parahaemolyticus</w:t>
                  </w:r>
                  <w:proofErr w:type="spellEnd"/>
                  <w:r>
                    <w:rPr>
                      <w:rFonts w:ascii="Arial" w:eastAsia="Arial" w:hAnsi="Arial" w:cs="Arial"/>
                      <w:i/>
                    </w:rPr>
                    <w:t xml:space="preserve"> </w:t>
                  </w:r>
                  <w:r>
                    <w:rPr>
                      <w:rFonts w:ascii="Arial" w:eastAsia="Arial" w:hAnsi="Arial" w:cs="Arial"/>
                    </w:rPr>
                    <w:t>in cross-streak experiments</w:t>
                  </w:r>
                </w:p>
              </w:tc>
            </w:tr>
            <w:tr w:rsidR="00814DF0" w14:paraId="16A0E14F" w14:textId="77777777">
              <w:tc>
                <w:tcPr>
                  <w:tcW w:w="3286" w:type="dxa"/>
                  <w:shd w:val="clear" w:color="auto" w:fill="auto"/>
                  <w:tcMar>
                    <w:top w:w="100" w:type="dxa"/>
                    <w:left w:w="100" w:type="dxa"/>
                    <w:bottom w:w="100" w:type="dxa"/>
                    <w:right w:w="100" w:type="dxa"/>
                  </w:tcMar>
                </w:tcPr>
                <w:p w14:paraId="31C1C570" w14:textId="77777777" w:rsidR="00814DF0" w:rsidRDefault="003E40A1">
                  <w:pPr>
                    <w:widowControl w:val="0"/>
                    <w:jc w:val="center"/>
                    <w:rPr>
                      <w:rFonts w:ascii="Arial" w:eastAsia="Arial" w:hAnsi="Arial" w:cs="Arial"/>
                    </w:rPr>
                  </w:pPr>
                  <w:r>
                    <w:rPr>
                      <w:rFonts w:ascii="Arial" w:eastAsia="Arial" w:hAnsi="Arial" w:cs="Arial"/>
                    </w:rPr>
                    <w:t>New Quay (Wales)</w:t>
                  </w:r>
                </w:p>
              </w:tc>
              <w:tc>
                <w:tcPr>
                  <w:tcW w:w="3287" w:type="dxa"/>
                  <w:shd w:val="clear" w:color="auto" w:fill="auto"/>
                  <w:tcMar>
                    <w:top w:w="100" w:type="dxa"/>
                    <w:left w:w="100" w:type="dxa"/>
                    <w:bottom w:w="100" w:type="dxa"/>
                    <w:right w:w="100" w:type="dxa"/>
                  </w:tcMar>
                </w:tcPr>
                <w:p w14:paraId="71C034A6"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NQ7</w:t>
                  </w:r>
                </w:p>
              </w:tc>
              <w:tc>
                <w:tcPr>
                  <w:tcW w:w="3287" w:type="dxa"/>
                  <w:shd w:val="clear" w:color="auto" w:fill="auto"/>
                  <w:tcMar>
                    <w:top w:w="100" w:type="dxa"/>
                    <w:left w:w="100" w:type="dxa"/>
                    <w:bottom w:w="100" w:type="dxa"/>
                    <w:right w:w="100" w:type="dxa"/>
                  </w:tcMar>
                </w:tcPr>
                <w:p w14:paraId="75B0B1C6" w14:textId="77777777" w:rsidR="00814DF0" w:rsidRDefault="003E40A1">
                  <w:pPr>
                    <w:widowControl w:val="0"/>
                    <w:rPr>
                      <w:rFonts w:ascii="Arial" w:eastAsia="Arial" w:hAnsi="Arial" w:cs="Arial"/>
                    </w:rPr>
                  </w:pPr>
                  <w:r>
                    <w:rPr>
                      <w:rFonts w:ascii="Arial" w:eastAsia="Arial" w:hAnsi="Arial" w:cs="Arial"/>
                    </w:rPr>
                    <w:t xml:space="preserve">Some inhibition of </w:t>
                  </w:r>
                  <w:proofErr w:type="spellStart"/>
                  <w:r>
                    <w:rPr>
                      <w:rFonts w:ascii="Arial" w:eastAsia="Arial" w:hAnsi="Arial" w:cs="Arial"/>
                      <w:i/>
                    </w:rPr>
                    <w:t>V.parahaemolyticus</w:t>
                  </w:r>
                  <w:proofErr w:type="spellEnd"/>
                  <w:r>
                    <w:rPr>
                      <w:rFonts w:ascii="Arial" w:eastAsia="Arial" w:hAnsi="Arial" w:cs="Arial"/>
                      <w:i/>
                    </w:rPr>
                    <w:t xml:space="preserve"> </w:t>
                  </w:r>
                  <w:r>
                    <w:rPr>
                      <w:rFonts w:ascii="Arial" w:eastAsia="Arial" w:hAnsi="Arial" w:cs="Arial"/>
                    </w:rPr>
                    <w:t>in cross-streak experiments</w:t>
                  </w:r>
                </w:p>
              </w:tc>
            </w:tr>
            <w:tr w:rsidR="00814DF0" w14:paraId="0ABD2A53" w14:textId="77777777">
              <w:tc>
                <w:tcPr>
                  <w:tcW w:w="3286" w:type="dxa"/>
                  <w:shd w:val="clear" w:color="auto" w:fill="auto"/>
                  <w:tcMar>
                    <w:top w:w="100" w:type="dxa"/>
                    <w:left w:w="100" w:type="dxa"/>
                    <w:bottom w:w="100" w:type="dxa"/>
                    <w:right w:w="100" w:type="dxa"/>
                  </w:tcMar>
                </w:tcPr>
                <w:p w14:paraId="34F0483A"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Montrose (Scotland-East)</w:t>
                  </w:r>
                </w:p>
              </w:tc>
              <w:tc>
                <w:tcPr>
                  <w:tcW w:w="3287" w:type="dxa"/>
                  <w:shd w:val="clear" w:color="auto" w:fill="auto"/>
                  <w:tcMar>
                    <w:top w:w="100" w:type="dxa"/>
                    <w:left w:w="100" w:type="dxa"/>
                    <w:bottom w:w="100" w:type="dxa"/>
                    <w:right w:w="100" w:type="dxa"/>
                  </w:tcMar>
                </w:tcPr>
                <w:p w14:paraId="010F9937"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MY1</w:t>
                  </w:r>
                </w:p>
              </w:tc>
              <w:tc>
                <w:tcPr>
                  <w:tcW w:w="3287" w:type="dxa"/>
                  <w:shd w:val="clear" w:color="auto" w:fill="auto"/>
                  <w:tcMar>
                    <w:top w:w="100" w:type="dxa"/>
                    <w:left w:w="100" w:type="dxa"/>
                    <w:bottom w:w="100" w:type="dxa"/>
                    <w:right w:w="100" w:type="dxa"/>
                  </w:tcMar>
                </w:tcPr>
                <w:p w14:paraId="4E7572AD" w14:textId="77777777" w:rsidR="00814DF0" w:rsidRDefault="003E40A1">
                  <w:pPr>
                    <w:widowControl w:val="0"/>
                    <w:rPr>
                      <w:rFonts w:ascii="Arial" w:eastAsia="Arial" w:hAnsi="Arial" w:cs="Arial"/>
                    </w:rPr>
                  </w:pPr>
                  <w:r>
                    <w:rPr>
                      <w:rFonts w:ascii="Arial" w:eastAsia="Arial" w:hAnsi="Arial" w:cs="Arial"/>
                    </w:rPr>
                    <w:t xml:space="preserve">Some inhibition of </w:t>
                  </w:r>
                  <w:proofErr w:type="spellStart"/>
                  <w:r>
                    <w:rPr>
                      <w:rFonts w:ascii="Arial" w:eastAsia="Arial" w:hAnsi="Arial" w:cs="Arial"/>
                      <w:i/>
                    </w:rPr>
                    <w:t>V.parahaemolyticus</w:t>
                  </w:r>
                  <w:proofErr w:type="spellEnd"/>
                  <w:r>
                    <w:rPr>
                      <w:rFonts w:ascii="Arial" w:eastAsia="Arial" w:hAnsi="Arial" w:cs="Arial"/>
                      <w:i/>
                    </w:rPr>
                    <w:t xml:space="preserve"> </w:t>
                  </w:r>
                  <w:r>
                    <w:rPr>
                      <w:rFonts w:ascii="Arial" w:eastAsia="Arial" w:hAnsi="Arial" w:cs="Arial"/>
                    </w:rPr>
                    <w:t>in cross-streak experiments</w:t>
                  </w:r>
                </w:p>
              </w:tc>
            </w:tr>
            <w:tr w:rsidR="00814DF0" w14:paraId="36944B0B" w14:textId="77777777">
              <w:tc>
                <w:tcPr>
                  <w:tcW w:w="3286" w:type="dxa"/>
                  <w:shd w:val="clear" w:color="auto" w:fill="auto"/>
                  <w:tcMar>
                    <w:top w:w="100" w:type="dxa"/>
                    <w:left w:w="100" w:type="dxa"/>
                    <w:bottom w:w="100" w:type="dxa"/>
                    <w:right w:w="100" w:type="dxa"/>
                  </w:tcMar>
                </w:tcPr>
                <w:p w14:paraId="160D5812"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Holy Island (England-East)</w:t>
                  </w:r>
                </w:p>
              </w:tc>
              <w:tc>
                <w:tcPr>
                  <w:tcW w:w="3287" w:type="dxa"/>
                  <w:shd w:val="clear" w:color="auto" w:fill="auto"/>
                  <w:tcMar>
                    <w:top w:w="100" w:type="dxa"/>
                    <w:left w:w="100" w:type="dxa"/>
                    <w:bottom w:w="100" w:type="dxa"/>
                    <w:right w:w="100" w:type="dxa"/>
                  </w:tcMar>
                </w:tcPr>
                <w:p w14:paraId="18F85A92"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LY1</w:t>
                  </w:r>
                </w:p>
              </w:tc>
              <w:tc>
                <w:tcPr>
                  <w:tcW w:w="3287" w:type="dxa"/>
                  <w:shd w:val="clear" w:color="auto" w:fill="auto"/>
                  <w:tcMar>
                    <w:top w:w="100" w:type="dxa"/>
                    <w:left w:w="100" w:type="dxa"/>
                    <w:bottom w:w="100" w:type="dxa"/>
                    <w:right w:w="100" w:type="dxa"/>
                  </w:tcMar>
                </w:tcPr>
                <w:p w14:paraId="0AB75714" w14:textId="77777777" w:rsidR="00814DF0" w:rsidRDefault="003E40A1">
                  <w:pPr>
                    <w:widowControl w:val="0"/>
                    <w:rPr>
                      <w:rFonts w:ascii="Arial" w:eastAsia="Arial" w:hAnsi="Arial" w:cs="Arial"/>
                    </w:rPr>
                  </w:pPr>
                  <w:r>
                    <w:rPr>
                      <w:rFonts w:ascii="Arial" w:eastAsia="Arial" w:hAnsi="Arial" w:cs="Arial"/>
                    </w:rPr>
                    <w:t xml:space="preserve">Some inhibition of </w:t>
                  </w:r>
                  <w:proofErr w:type="spellStart"/>
                  <w:r>
                    <w:rPr>
                      <w:rFonts w:ascii="Arial" w:eastAsia="Arial" w:hAnsi="Arial" w:cs="Arial"/>
                      <w:i/>
                    </w:rPr>
                    <w:t>V.parahaemolyticus</w:t>
                  </w:r>
                  <w:proofErr w:type="spellEnd"/>
                  <w:r>
                    <w:rPr>
                      <w:rFonts w:ascii="Arial" w:eastAsia="Arial" w:hAnsi="Arial" w:cs="Arial"/>
                      <w:i/>
                    </w:rPr>
                    <w:t xml:space="preserve"> </w:t>
                  </w:r>
                  <w:r>
                    <w:rPr>
                      <w:rFonts w:ascii="Arial" w:eastAsia="Arial" w:hAnsi="Arial" w:cs="Arial"/>
                    </w:rPr>
                    <w:t>in cross-streak experiments</w:t>
                  </w:r>
                </w:p>
              </w:tc>
            </w:tr>
            <w:tr w:rsidR="00814DF0" w14:paraId="52D3CF67" w14:textId="77777777">
              <w:tc>
                <w:tcPr>
                  <w:tcW w:w="3286" w:type="dxa"/>
                  <w:shd w:val="clear" w:color="auto" w:fill="auto"/>
                  <w:tcMar>
                    <w:top w:w="100" w:type="dxa"/>
                    <w:left w:w="100" w:type="dxa"/>
                    <w:bottom w:w="100" w:type="dxa"/>
                    <w:right w:w="100" w:type="dxa"/>
                  </w:tcMar>
                </w:tcPr>
                <w:p w14:paraId="720FC859" w14:textId="77777777" w:rsidR="00814DF0" w:rsidRDefault="003E40A1">
                  <w:pPr>
                    <w:widowControl w:val="0"/>
                    <w:jc w:val="center"/>
                    <w:rPr>
                      <w:rFonts w:ascii="Arial" w:eastAsia="Arial" w:hAnsi="Arial" w:cs="Arial"/>
                    </w:rPr>
                  </w:pPr>
                  <w:r>
                    <w:rPr>
                      <w:rFonts w:ascii="Arial" w:eastAsia="Arial" w:hAnsi="Arial" w:cs="Arial"/>
                    </w:rPr>
                    <w:t>Port William (Scotland-West)</w:t>
                  </w:r>
                </w:p>
              </w:tc>
              <w:tc>
                <w:tcPr>
                  <w:tcW w:w="3287" w:type="dxa"/>
                  <w:shd w:val="clear" w:color="auto" w:fill="auto"/>
                  <w:tcMar>
                    <w:top w:w="100" w:type="dxa"/>
                    <w:left w:w="100" w:type="dxa"/>
                    <w:bottom w:w="100" w:type="dxa"/>
                    <w:right w:w="100" w:type="dxa"/>
                  </w:tcMar>
                </w:tcPr>
                <w:p w14:paraId="6285F8FD"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PW6</w:t>
                  </w:r>
                </w:p>
              </w:tc>
              <w:tc>
                <w:tcPr>
                  <w:tcW w:w="3287" w:type="dxa"/>
                  <w:shd w:val="clear" w:color="auto" w:fill="auto"/>
                  <w:tcMar>
                    <w:top w:w="100" w:type="dxa"/>
                    <w:left w:w="100" w:type="dxa"/>
                    <w:bottom w:w="100" w:type="dxa"/>
                    <w:right w:w="100" w:type="dxa"/>
                  </w:tcMar>
                </w:tcPr>
                <w:p w14:paraId="48ADE916" w14:textId="77777777" w:rsidR="00814DF0" w:rsidRDefault="003E40A1">
                  <w:pPr>
                    <w:widowControl w:val="0"/>
                    <w:pBdr>
                      <w:top w:val="nil"/>
                      <w:left w:val="nil"/>
                      <w:bottom w:val="nil"/>
                      <w:right w:val="nil"/>
                      <w:between w:val="nil"/>
                    </w:pBdr>
                    <w:rPr>
                      <w:rFonts w:ascii="Arial" w:eastAsia="Arial" w:hAnsi="Arial" w:cs="Arial"/>
                    </w:rPr>
                  </w:pPr>
                  <w:r>
                    <w:rPr>
                      <w:rFonts w:ascii="Arial" w:eastAsia="Arial" w:hAnsi="Arial" w:cs="Arial"/>
                    </w:rPr>
                    <w:t xml:space="preserve">Distinct red pigment of colonies and floral scent </w:t>
                  </w:r>
                </w:p>
              </w:tc>
            </w:tr>
            <w:tr w:rsidR="00814DF0" w14:paraId="474BEB2D" w14:textId="77777777">
              <w:tc>
                <w:tcPr>
                  <w:tcW w:w="3286" w:type="dxa"/>
                  <w:shd w:val="clear" w:color="auto" w:fill="auto"/>
                  <w:tcMar>
                    <w:top w:w="100" w:type="dxa"/>
                    <w:left w:w="100" w:type="dxa"/>
                    <w:bottom w:w="100" w:type="dxa"/>
                    <w:right w:w="100" w:type="dxa"/>
                  </w:tcMar>
                </w:tcPr>
                <w:p w14:paraId="22C8772A"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Weymouth (England-South)</w:t>
                  </w:r>
                </w:p>
              </w:tc>
              <w:tc>
                <w:tcPr>
                  <w:tcW w:w="3287" w:type="dxa"/>
                  <w:shd w:val="clear" w:color="auto" w:fill="auto"/>
                  <w:tcMar>
                    <w:top w:w="100" w:type="dxa"/>
                    <w:left w:w="100" w:type="dxa"/>
                    <w:bottom w:w="100" w:type="dxa"/>
                    <w:right w:w="100" w:type="dxa"/>
                  </w:tcMar>
                </w:tcPr>
                <w:p w14:paraId="7F904A70"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B4</w:t>
                  </w:r>
                </w:p>
              </w:tc>
              <w:tc>
                <w:tcPr>
                  <w:tcW w:w="3287" w:type="dxa"/>
                  <w:shd w:val="clear" w:color="auto" w:fill="auto"/>
                  <w:tcMar>
                    <w:top w:w="100" w:type="dxa"/>
                    <w:left w:w="100" w:type="dxa"/>
                    <w:bottom w:w="100" w:type="dxa"/>
                    <w:right w:w="100" w:type="dxa"/>
                  </w:tcMar>
                </w:tcPr>
                <w:p w14:paraId="5D84B621" w14:textId="77777777" w:rsidR="00814DF0" w:rsidRDefault="003E40A1">
                  <w:pPr>
                    <w:widowControl w:val="0"/>
                    <w:pBdr>
                      <w:top w:val="nil"/>
                      <w:left w:val="nil"/>
                      <w:bottom w:val="nil"/>
                      <w:right w:val="nil"/>
                      <w:between w:val="nil"/>
                    </w:pBdr>
                    <w:rPr>
                      <w:rFonts w:ascii="Arial" w:eastAsia="Arial" w:hAnsi="Arial" w:cs="Arial"/>
                    </w:rPr>
                  </w:pPr>
                  <w:r>
                    <w:rPr>
                      <w:rFonts w:ascii="Arial" w:eastAsia="Arial" w:hAnsi="Arial" w:cs="Arial"/>
                    </w:rPr>
                    <w:t>Distinct orange pigment of colonies with rhizoid appearance</w:t>
                  </w:r>
                </w:p>
              </w:tc>
            </w:tr>
          </w:tbl>
          <w:p w14:paraId="4689F95C" w14:textId="77777777" w:rsidR="00814DF0" w:rsidRDefault="00814DF0">
            <w:pPr>
              <w:ind w:right="-330"/>
              <w:rPr>
                <w:rFonts w:ascii="Arial" w:eastAsia="Arial" w:hAnsi="Arial" w:cs="Arial"/>
              </w:rPr>
            </w:pPr>
          </w:p>
          <w:p w14:paraId="36301A5C" w14:textId="77777777" w:rsidR="00814DF0" w:rsidRDefault="003E40A1">
            <w:pPr>
              <w:ind w:right="-330"/>
              <w:rPr>
                <w:rFonts w:ascii="Arial" w:eastAsia="Arial" w:hAnsi="Arial" w:cs="Arial"/>
              </w:rPr>
            </w:pPr>
            <w:r>
              <w:rPr>
                <w:rFonts w:ascii="Arial" w:eastAsia="Arial" w:hAnsi="Arial" w:cs="Arial"/>
                <w:b/>
              </w:rPr>
              <w:t xml:space="preserve">Table 1.  </w:t>
            </w:r>
            <w:r>
              <w:rPr>
                <w:rFonts w:ascii="Arial" w:eastAsia="Arial" w:hAnsi="Arial" w:cs="Arial"/>
              </w:rPr>
              <w:t>Marine bacteria chosen for use in the Antibiotics Undersea - Students as co-creators project, and the reason for use.</w:t>
            </w:r>
          </w:p>
          <w:p w14:paraId="6E701063" w14:textId="77777777" w:rsidR="00814DF0" w:rsidRDefault="00814DF0">
            <w:pPr>
              <w:ind w:right="-330"/>
              <w:rPr>
                <w:rFonts w:ascii="Arial" w:eastAsia="Arial" w:hAnsi="Arial" w:cs="Arial"/>
                <w:b/>
              </w:rPr>
            </w:pPr>
          </w:p>
          <w:p w14:paraId="5C31A56B" w14:textId="77777777" w:rsidR="00814DF0" w:rsidRDefault="00814DF0">
            <w:pPr>
              <w:ind w:right="-330"/>
              <w:rPr>
                <w:rFonts w:ascii="Arial" w:eastAsia="Arial" w:hAnsi="Arial" w:cs="Arial"/>
                <w:b/>
              </w:rPr>
            </w:pPr>
          </w:p>
          <w:p w14:paraId="77A3D2A8" w14:textId="77777777" w:rsidR="00814DF0" w:rsidRDefault="003E40A1">
            <w:pPr>
              <w:ind w:right="-330"/>
              <w:rPr>
                <w:rFonts w:ascii="Arial" w:eastAsia="Arial" w:hAnsi="Arial" w:cs="Arial"/>
              </w:rPr>
            </w:pPr>
            <w:r>
              <w:rPr>
                <w:rFonts w:ascii="Arial" w:eastAsia="Arial" w:hAnsi="Arial" w:cs="Arial"/>
              </w:rPr>
              <w:t xml:space="preserve">The marine bacteria from our culture collection stored at 4 °C were checked (232 Petri dishes) and from here 49 were re-isolated by streak plating onto </w:t>
            </w:r>
            <w:proofErr w:type="spellStart"/>
            <w:r>
              <w:rPr>
                <w:rFonts w:ascii="Arial" w:eastAsia="Arial" w:hAnsi="Arial" w:cs="Arial"/>
              </w:rPr>
              <w:t>Difco</w:t>
            </w:r>
            <w:proofErr w:type="spellEnd"/>
            <w:r>
              <w:rPr>
                <w:rFonts w:ascii="Arial" w:eastAsia="Arial" w:hAnsi="Arial" w:cs="Arial"/>
              </w:rPr>
              <w:t xml:space="preserve"> marine agar and incubated at 18 °C. The 6 identified cultures of interest were streak plated and incubated at 26 °C for one week prior to use.</w:t>
            </w:r>
          </w:p>
          <w:p w14:paraId="62D58099" w14:textId="77777777" w:rsidR="00814DF0" w:rsidRDefault="003E40A1">
            <w:pPr>
              <w:ind w:right="-330"/>
              <w:rPr>
                <w:rFonts w:ascii="Arial" w:eastAsia="Arial" w:hAnsi="Arial" w:cs="Arial"/>
              </w:rPr>
            </w:pPr>
            <w:r>
              <w:rPr>
                <w:rFonts w:ascii="Arial" w:eastAsia="Arial" w:hAnsi="Arial" w:cs="Arial"/>
              </w:rPr>
              <w:t xml:space="preserve">To produce liquid cultures, an individual colony from each marine bacteria culture was placed in 100 mL of sterile </w:t>
            </w:r>
            <w:proofErr w:type="spellStart"/>
            <w:r>
              <w:rPr>
                <w:rFonts w:ascii="Arial" w:eastAsia="Arial" w:hAnsi="Arial" w:cs="Arial"/>
              </w:rPr>
              <w:t>Difco</w:t>
            </w:r>
            <w:proofErr w:type="spellEnd"/>
            <w:r>
              <w:rPr>
                <w:rFonts w:ascii="Arial" w:eastAsia="Arial" w:hAnsi="Arial" w:cs="Arial"/>
              </w:rPr>
              <w:t xml:space="preserve"> marine broth in a 250 mL Erlenmeyer flask, vortexed briefly to distribute cells and incubated at 26 °C, 150 RPM.  The following day to observe growth the optical density (OD) was measured using a spectrophotometer (600 nm). All cultures that had reached an OD of &gt;0.600 had a volume (dependent on culture density) transferred to 100 mL of fresh marine broth to produce an OD of </w:t>
            </w:r>
            <w:proofErr w:type="spellStart"/>
            <w:r>
              <w:rPr>
                <w:rFonts w:ascii="Arial" w:eastAsia="Arial" w:hAnsi="Arial" w:cs="Arial"/>
              </w:rPr>
              <w:t>approx</w:t>
            </w:r>
            <w:proofErr w:type="spellEnd"/>
            <w:r>
              <w:rPr>
                <w:rFonts w:ascii="Arial" w:eastAsia="Arial" w:hAnsi="Arial" w:cs="Arial"/>
              </w:rPr>
              <w:t xml:space="preserve"> 0.100 and these flasks also incubated. The next day, a total of 6 cultures had been incubated for 48 hours, and another 5 for 24 hours, and once OD had been recorded 1.5 mL was transferred to a </w:t>
            </w:r>
            <w:proofErr w:type="spellStart"/>
            <w:r>
              <w:rPr>
                <w:rFonts w:ascii="Arial" w:eastAsia="Arial" w:hAnsi="Arial" w:cs="Arial"/>
              </w:rPr>
              <w:t>microcentrifuge</w:t>
            </w:r>
            <w:proofErr w:type="spellEnd"/>
            <w:r>
              <w:rPr>
                <w:rFonts w:ascii="Arial" w:eastAsia="Arial" w:hAnsi="Arial" w:cs="Arial"/>
              </w:rPr>
              <w:t xml:space="preserve"> tube and spun at 10,500</w:t>
            </w:r>
            <w:r>
              <w:rPr>
                <w:rFonts w:ascii="Arial" w:eastAsia="Arial" w:hAnsi="Arial" w:cs="Arial"/>
                <w:i/>
              </w:rPr>
              <w:t xml:space="preserve">g </w:t>
            </w:r>
            <w:r>
              <w:rPr>
                <w:rFonts w:ascii="Arial" w:eastAsia="Arial" w:hAnsi="Arial" w:cs="Arial"/>
              </w:rPr>
              <w:t>for 5 minutes.  The supernatant was placed in a new tube for use in the disc diffusion assay, with the remaining cell pellet stored at -20 °</w:t>
            </w:r>
            <w:proofErr w:type="gramStart"/>
            <w:r>
              <w:rPr>
                <w:rFonts w:ascii="Arial" w:eastAsia="Arial" w:hAnsi="Arial" w:cs="Arial"/>
              </w:rPr>
              <w:t>C  for</w:t>
            </w:r>
            <w:proofErr w:type="gramEnd"/>
            <w:r>
              <w:rPr>
                <w:rFonts w:ascii="Arial" w:eastAsia="Arial" w:hAnsi="Arial" w:cs="Arial"/>
              </w:rPr>
              <w:t xml:space="preserve"> future DNA analysis.   Sterile autoclaved 6 mm diameter filter discs were loaded with 40- 100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of culture supernatant in </w:t>
            </w:r>
            <w:r>
              <w:rPr>
                <w:rFonts w:ascii="Arial" w:eastAsia="Arial" w:hAnsi="Arial" w:cs="Arial"/>
              </w:rPr>
              <w:lastRenderedPageBreak/>
              <w:t xml:space="preserve">increments of 20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sidR="00A619A6">
              <w:rPr>
                <w:rFonts w:ascii="Arial" w:eastAsia="Arial" w:hAnsi="Arial" w:cs="Arial"/>
              </w:rPr>
              <w:t xml:space="preserve"> </w:t>
            </w:r>
            <w:r>
              <w:rPr>
                <w:rFonts w:ascii="Arial" w:eastAsia="Arial" w:hAnsi="Arial" w:cs="Arial"/>
              </w:rPr>
              <w:t xml:space="preserve">and left to dry between loadings, with the process completed over 2 days.  A negative control was prepared for each assay by loading between 40 -80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of marine broth (no bacteria) onto a disc. </w:t>
            </w:r>
          </w:p>
          <w:p w14:paraId="33B35A4E" w14:textId="77777777" w:rsidR="00814DF0" w:rsidRDefault="003E40A1">
            <w:pPr>
              <w:ind w:right="-330"/>
              <w:rPr>
                <w:rFonts w:ascii="Arial" w:eastAsia="Arial" w:hAnsi="Arial" w:cs="Arial"/>
              </w:rPr>
            </w:pPr>
            <w:r>
              <w:rPr>
                <w:rFonts w:ascii="Arial" w:eastAsia="Arial" w:hAnsi="Arial" w:cs="Arial"/>
              </w:rPr>
              <w:t xml:space="preserve">For the disc diffusion assay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grown overnight in nutrient broth at 37 °</w:t>
            </w:r>
            <w:proofErr w:type="gramStart"/>
            <w:r>
              <w:rPr>
                <w:rFonts w:ascii="Arial" w:eastAsia="Arial" w:hAnsi="Arial" w:cs="Arial"/>
              </w:rPr>
              <w:t>C  at</w:t>
            </w:r>
            <w:proofErr w:type="gramEnd"/>
            <w:r>
              <w:rPr>
                <w:rFonts w:ascii="Arial" w:eastAsia="Arial" w:hAnsi="Arial" w:cs="Arial"/>
              </w:rPr>
              <w:t xml:space="preserve"> a 0.5 McFarland turbidity equivalence was swabbed across Mueller Hinton agar plates. Each plate was divided into 6 and then loaded with a positive control 6 mm Tetracycline 30 </w:t>
            </w:r>
            <w:r w:rsidR="00A619A6">
              <w:rPr>
                <w:rFonts w:ascii="Cambria Math" w:eastAsia="Cambria Math" w:hAnsi="Cambria Math" w:cs="Cambria Math"/>
              </w:rPr>
              <w:t>𝞵</w:t>
            </w:r>
            <w:r>
              <w:rPr>
                <w:rFonts w:ascii="Arial" w:eastAsia="Arial" w:hAnsi="Arial" w:cs="Arial"/>
              </w:rPr>
              <w:t>g (</w:t>
            </w:r>
            <w:proofErr w:type="spellStart"/>
            <w:r>
              <w:rPr>
                <w:rFonts w:ascii="Arial" w:eastAsia="Arial" w:hAnsi="Arial" w:cs="Arial"/>
              </w:rPr>
              <w:t>Oxoid</w:t>
            </w:r>
            <w:proofErr w:type="spellEnd"/>
            <w:r>
              <w:rPr>
                <w:rFonts w:ascii="Arial" w:eastAsia="Arial" w:hAnsi="Arial" w:cs="Arial"/>
              </w:rPr>
              <w:t>) antibiotic disc, a negative control disc (</w:t>
            </w:r>
            <w:proofErr w:type="spellStart"/>
            <w:r>
              <w:rPr>
                <w:rFonts w:ascii="Arial" w:eastAsia="Arial" w:hAnsi="Arial" w:cs="Arial"/>
              </w:rPr>
              <w:t>Difco</w:t>
            </w:r>
            <w:proofErr w:type="spellEnd"/>
            <w:r>
              <w:rPr>
                <w:rFonts w:ascii="Arial" w:eastAsia="Arial" w:hAnsi="Arial" w:cs="Arial"/>
              </w:rPr>
              <w:t xml:space="preserve"> marine broth only) and four discs loaded with 40 -100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sidRPr="00A619A6">
              <w:rPr>
                <w:rFonts w:ascii="Arial" w:eastAsia="Arial" w:hAnsi="Arial" w:cs="Arial"/>
              </w:rPr>
              <w:t xml:space="preserve"> </w:t>
            </w:r>
            <w:r>
              <w:rPr>
                <w:rFonts w:ascii="Arial" w:eastAsia="Arial" w:hAnsi="Arial" w:cs="Arial"/>
              </w:rPr>
              <w:t xml:space="preserve">of the bacteria culture supernatant (Figure 1). Each plate was performed in duplicate. Samples from cultures 23-24h in growth were labelled ‘new’ and samples in culture for 48 hours were labelled ‘old’ to distinguish them from one another.  The Petri dishes were viewed after 24 hours and the zone of inhibition surrounding the discs measured and recorded. </w:t>
            </w:r>
          </w:p>
          <w:p w14:paraId="029C2B52" w14:textId="77777777" w:rsidR="00814DF0" w:rsidRDefault="00814DF0">
            <w:pPr>
              <w:ind w:right="-330"/>
              <w:rPr>
                <w:rFonts w:ascii="Arial" w:eastAsia="Arial" w:hAnsi="Arial" w:cs="Arial"/>
              </w:rPr>
            </w:pPr>
          </w:p>
          <w:p w14:paraId="3C36991E" w14:textId="77777777" w:rsidR="00814DF0" w:rsidRDefault="003E40A1">
            <w:pPr>
              <w:ind w:right="-330"/>
              <w:rPr>
                <w:rFonts w:ascii="Arial" w:eastAsia="Arial" w:hAnsi="Arial" w:cs="Arial"/>
              </w:rPr>
            </w:pPr>
            <w:r>
              <w:rPr>
                <w:rFonts w:ascii="Arial" w:eastAsia="Arial" w:hAnsi="Arial" w:cs="Arial"/>
              </w:rPr>
              <w:t xml:space="preserve"> </w:t>
            </w:r>
            <w:r>
              <w:rPr>
                <w:rFonts w:ascii="Arial" w:eastAsia="Arial" w:hAnsi="Arial" w:cs="Arial"/>
                <w:noProof/>
                <w:lang w:eastAsia="en-GB"/>
              </w:rPr>
              <w:drawing>
                <wp:inline distT="114300" distB="114300" distL="114300" distR="114300" wp14:anchorId="6189D5E0" wp14:editId="7FDEE889">
                  <wp:extent cx="6257925" cy="3632200"/>
                  <wp:effectExtent l="0" t="0" r="0" b="0"/>
                  <wp:docPr id="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6257925" cy="3632200"/>
                          </a:xfrm>
                          <a:prstGeom prst="rect">
                            <a:avLst/>
                          </a:prstGeom>
                          <a:ln/>
                        </pic:spPr>
                      </pic:pic>
                    </a:graphicData>
                  </a:graphic>
                </wp:inline>
              </w:drawing>
            </w:r>
          </w:p>
          <w:p w14:paraId="159CF3D0" w14:textId="77777777" w:rsidR="00814DF0" w:rsidRDefault="00814DF0">
            <w:pPr>
              <w:ind w:right="-330"/>
              <w:rPr>
                <w:rFonts w:ascii="Arial" w:eastAsia="Arial" w:hAnsi="Arial" w:cs="Arial"/>
              </w:rPr>
            </w:pPr>
          </w:p>
          <w:p w14:paraId="414229DC" w14:textId="77777777" w:rsidR="00814DF0" w:rsidRDefault="003E40A1">
            <w:pPr>
              <w:ind w:right="-330"/>
              <w:rPr>
                <w:rFonts w:ascii="Arial" w:eastAsia="Arial" w:hAnsi="Arial" w:cs="Arial"/>
                <w:i/>
              </w:rPr>
            </w:pPr>
            <w:r>
              <w:rPr>
                <w:rFonts w:ascii="Arial" w:eastAsia="Arial" w:hAnsi="Arial" w:cs="Arial"/>
              </w:rPr>
              <w:t xml:space="preserve">Figure 1. Method used to load discs onto Mueller Hinton agar dish swabbed with </w:t>
            </w:r>
            <w:r>
              <w:rPr>
                <w:rFonts w:ascii="Arial" w:eastAsia="Arial" w:hAnsi="Arial" w:cs="Arial"/>
                <w:i/>
              </w:rPr>
              <w:t xml:space="preserve">V. </w:t>
            </w:r>
            <w:proofErr w:type="spellStart"/>
            <w:r>
              <w:rPr>
                <w:rFonts w:ascii="Arial" w:eastAsia="Arial" w:hAnsi="Arial" w:cs="Arial"/>
                <w:i/>
              </w:rPr>
              <w:t>parahaemolyticus</w:t>
            </w:r>
            <w:proofErr w:type="spellEnd"/>
          </w:p>
          <w:p w14:paraId="224CB8B6" w14:textId="77777777" w:rsidR="00814DF0" w:rsidRDefault="00814DF0">
            <w:pPr>
              <w:ind w:right="-330"/>
              <w:rPr>
                <w:rFonts w:ascii="Arial" w:eastAsia="Arial" w:hAnsi="Arial" w:cs="Arial"/>
                <w:i/>
              </w:rPr>
            </w:pPr>
          </w:p>
          <w:p w14:paraId="7456E525" w14:textId="77777777" w:rsidR="00814DF0" w:rsidRDefault="00814DF0">
            <w:pPr>
              <w:ind w:right="-330"/>
              <w:rPr>
                <w:rFonts w:ascii="Arial" w:eastAsia="Arial" w:hAnsi="Arial" w:cs="Arial"/>
              </w:rPr>
            </w:pPr>
          </w:p>
          <w:p w14:paraId="44A1C423" w14:textId="77777777" w:rsidR="00814DF0" w:rsidRDefault="00814DF0">
            <w:pPr>
              <w:ind w:right="-330"/>
              <w:rPr>
                <w:rFonts w:ascii="Arial" w:eastAsia="Arial" w:hAnsi="Arial" w:cs="Arial"/>
              </w:rPr>
            </w:pPr>
          </w:p>
        </w:tc>
      </w:tr>
      <w:tr w:rsidR="00814DF0" w14:paraId="34862582" w14:textId="77777777">
        <w:tc>
          <w:tcPr>
            <w:tcW w:w="10060" w:type="dxa"/>
          </w:tcPr>
          <w:p w14:paraId="2CB6B85D" w14:textId="77777777" w:rsidR="00814DF0" w:rsidRDefault="00814DF0">
            <w:pPr>
              <w:ind w:right="-330"/>
              <w:rPr>
                <w:rFonts w:ascii="Arial" w:eastAsia="Arial" w:hAnsi="Arial" w:cs="Arial"/>
                <w:i/>
              </w:rPr>
            </w:pPr>
          </w:p>
          <w:p w14:paraId="78CB90FD" w14:textId="77777777" w:rsidR="00814DF0" w:rsidRDefault="00814DF0">
            <w:pPr>
              <w:ind w:right="-330"/>
              <w:rPr>
                <w:rFonts w:ascii="Arial" w:eastAsia="Arial" w:hAnsi="Arial" w:cs="Arial"/>
                <w:i/>
              </w:rPr>
            </w:pPr>
          </w:p>
        </w:tc>
      </w:tr>
    </w:tbl>
    <w:p w14:paraId="1959BFC6" w14:textId="77777777" w:rsidR="00814DF0" w:rsidRDefault="00814DF0">
      <w:pPr>
        <w:ind w:right="-330"/>
      </w:pPr>
    </w:p>
    <w:tbl>
      <w:tblPr>
        <w:tblStyle w:val="ae"/>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711FDE67" w14:textId="77777777">
        <w:tc>
          <w:tcPr>
            <w:tcW w:w="10060" w:type="dxa"/>
          </w:tcPr>
          <w:p w14:paraId="231ED6B7" w14:textId="77777777" w:rsidR="00814DF0" w:rsidRDefault="003E40A1">
            <w:pPr>
              <w:ind w:right="-330"/>
              <w:rPr>
                <w:rFonts w:ascii="Arial" w:eastAsia="Arial" w:hAnsi="Arial" w:cs="Arial"/>
                <w:b/>
              </w:rPr>
            </w:pPr>
            <w:r>
              <w:rPr>
                <w:rFonts w:ascii="Arial" w:eastAsia="Arial" w:hAnsi="Arial" w:cs="Arial"/>
                <w:b/>
              </w:rPr>
              <w:t xml:space="preserve">Section 4. Results </w:t>
            </w:r>
          </w:p>
        </w:tc>
      </w:tr>
      <w:tr w:rsidR="00814DF0" w14:paraId="28E0EAD1" w14:textId="77777777">
        <w:trPr>
          <w:trHeight w:val="900"/>
        </w:trPr>
        <w:tc>
          <w:tcPr>
            <w:tcW w:w="10060" w:type="dxa"/>
          </w:tcPr>
          <w:p w14:paraId="6EA410E6" w14:textId="77777777" w:rsidR="00814DF0" w:rsidRDefault="00814DF0">
            <w:pPr>
              <w:ind w:right="-330"/>
              <w:rPr>
                <w:rFonts w:ascii="Arial" w:eastAsia="Arial" w:hAnsi="Arial" w:cs="Arial"/>
              </w:rPr>
            </w:pPr>
          </w:p>
          <w:p w14:paraId="27292E95" w14:textId="77777777" w:rsidR="00814DF0" w:rsidRDefault="00814DF0">
            <w:pPr>
              <w:ind w:right="-330"/>
              <w:rPr>
                <w:rFonts w:ascii="Arial" w:eastAsia="Arial" w:hAnsi="Arial" w:cs="Arial"/>
              </w:rPr>
            </w:pPr>
          </w:p>
          <w:p w14:paraId="71ECDAAD" w14:textId="77777777" w:rsidR="00814DF0" w:rsidRDefault="003E40A1">
            <w:pPr>
              <w:ind w:right="-330"/>
              <w:rPr>
                <w:rFonts w:ascii="Arial" w:eastAsia="Arial" w:hAnsi="Arial" w:cs="Arial"/>
                <w:b/>
              </w:rPr>
            </w:pPr>
            <w:r>
              <w:rPr>
                <w:rFonts w:ascii="Arial" w:eastAsia="Arial" w:hAnsi="Arial" w:cs="Arial"/>
                <w:b/>
              </w:rPr>
              <w:t>Outreach</w:t>
            </w:r>
          </w:p>
          <w:p w14:paraId="268E02CE" w14:textId="77777777" w:rsidR="00814DF0" w:rsidRDefault="003E40A1">
            <w:pPr>
              <w:ind w:right="-330"/>
              <w:rPr>
                <w:rFonts w:ascii="Arial" w:eastAsia="Arial" w:hAnsi="Arial" w:cs="Arial"/>
              </w:rPr>
            </w:pPr>
            <w:r>
              <w:rPr>
                <w:rFonts w:ascii="Arial" w:eastAsia="Arial" w:hAnsi="Arial" w:cs="Arial"/>
              </w:rPr>
              <w:t>Members of the project had a stand at the ‘2019 Science4sustainability 16</w:t>
            </w:r>
            <w:r>
              <w:rPr>
                <w:rFonts w:ascii="Arial" w:eastAsia="Arial" w:hAnsi="Arial" w:cs="Arial"/>
                <w:vertAlign w:val="superscript"/>
              </w:rPr>
              <w:t>th</w:t>
            </w:r>
            <w:r>
              <w:rPr>
                <w:rFonts w:ascii="Arial" w:eastAsia="Arial" w:hAnsi="Arial" w:cs="Arial"/>
              </w:rPr>
              <w:t xml:space="preserve"> Annual Schools’ conference discussing the problem of antibiotic resistance and developing new antibiotics (Fig 2). This conference was attended by over 370 students in years 9 to 11 from 19 participating schools and colleges across London.  The stand generated interest and a wide range of literature relating to the topic was given to the students that attended.</w:t>
            </w:r>
          </w:p>
          <w:p w14:paraId="310E584D" w14:textId="77777777" w:rsidR="00814DF0" w:rsidRDefault="00814DF0">
            <w:pPr>
              <w:ind w:right="-330"/>
              <w:rPr>
                <w:rFonts w:ascii="Arial" w:eastAsia="Arial" w:hAnsi="Arial" w:cs="Arial"/>
              </w:rPr>
            </w:pPr>
          </w:p>
          <w:p w14:paraId="0E5E560C" w14:textId="77777777" w:rsidR="00814DF0" w:rsidRDefault="003E40A1">
            <w:pPr>
              <w:ind w:right="-330"/>
              <w:rPr>
                <w:rFonts w:ascii="Arial" w:eastAsia="Arial" w:hAnsi="Arial" w:cs="Arial"/>
              </w:rPr>
            </w:pPr>
            <w:r>
              <w:rPr>
                <w:rFonts w:ascii="Arial" w:eastAsia="Arial" w:hAnsi="Arial" w:cs="Arial"/>
                <w:b/>
              </w:rPr>
              <w:lastRenderedPageBreak/>
              <w:t xml:space="preserve">Figure 2. </w:t>
            </w:r>
            <w:r>
              <w:rPr>
                <w:rFonts w:ascii="Arial" w:eastAsia="Arial" w:hAnsi="Arial" w:cs="Arial"/>
              </w:rPr>
              <w:t xml:space="preserve">Sara Ahmed and </w:t>
            </w:r>
            <w:proofErr w:type="spellStart"/>
            <w:r>
              <w:rPr>
                <w:rFonts w:ascii="Arial" w:eastAsia="Arial" w:hAnsi="Arial" w:cs="Arial"/>
              </w:rPr>
              <w:t>Samaiya</w:t>
            </w:r>
            <w:proofErr w:type="spellEnd"/>
            <w:r>
              <w:rPr>
                <w:rFonts w:ascii="Arial" w:eastAsia="Arial" w:hAnsi="Arial" w:cs="Arial"/>
              </w:rPr>
              <w:t xml:space="preserve"> Asif on our stand at the 2019 Science4sustainability 16</w:t>
            </w:r>
            <w:r>
              <w:rPr>
                <w:rFonts w:ascii="Arial" w:eastAsia="Arial" w:hAnsi="Arial" w:cs="Arial"/>
                <w:vertAlign w:val="superscript"/>
              </w:rPr>
              <w:t>th</w:t>
            </w:r>
            <w:r>
              <w:rPr>
                <w:rFonts w:ascii="Arial" w:eastAsia="Arial" w:hAnsi="Arial" w:cs="Arial"/>
              </w:rPr>
              <w:t xml:space="preserve"> Annual Schools’ conference.</w:t>
            </w:r>
            <w:r>
              <w:rPr>
                <w:noProof/>
                <w:lang w:eastAsia="en-GB"/>
              </w:rPr>
              <w:drawing>
                <wp:anchor distT="114300" distB="114300" distL="114300" distR="114300" simplePos="0" relativeHeight="251658240" behindDoc="0" locked="0" layoutInCell="1" hidden="0" allowOverlap="1" wp14:anchorId="258BBAC5" wp14:editId="7C88D9BA">
                  <wp:simplePos x="0" y="0"/>
                  <wp:positionH relativeFrom="column">
                    <wp:posOffset>276225</wp:posOffset>
                  </wp:positionH>
                  <wp:positionV relativeFrom="paragraph">
                    <wp:posOffset>114300</wp:posOffset>
                  </wp:positionV>
                  <wp:extent cx="6096000" cy="4572000"/>
                  <wp:effectExtent l="0" t="0" r="0" b="0"/>
                  <wp:wrapTopAndBottom distT="114300" distB="11430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6096000" cy="4572000"/>
                          </a:xfrm>
                          <a:prstGeom prst="rect">
                            <a:avLst/>
                          </a:prstGeom>
                          <a:ln/>
                        </pic:spPr>
                      </pic:pic>
                    </a:graphicData>
                  </a:graphic>
                </wp:anchor>
              </w:drawing>
            </w:r>
          </w:p>
          <w:p w14:paraId="5417B631" w14:textId="77777777" w:rsidR="00814DF0" w:rsidRDefault="00814DF0">
            <w:pPr>
              <w:ind w:right="-330"/>
              <w:rPr>
                <w:rFonts w:ascii="Arial" w:eastAsia="Arial" w:hAnsi="Arial" w:cs="Arial"/>
              </w:rPr>
            </w:pPr>
          </w:p>
          <w:p w14:paraId="2CB5599B" w14:textId="77777777" w:rsidR="00814DF0" w:rsidRDefault="003E40A1">
            <w:pPr>
              <w:ind w:right="-330"/>
              <w:rPr>
                <w:rFonts w:ascii="Arial" w:eastAsia="Arial" w:hAnsi="Arial" w:cs="Arial"/>
              </w:rPr>
            </w:pPr>
            <w:r>
              <w:rPr>
                <w:rFonts w:ascii="Arial" w:eastAsia="Arial" w:hAnsi="Arial" w:cs="Arial"/>
              </w:rPr>
              <w:t xml:space="preserve">We have had Twitter </w:t>
            </w:r>
            <w:hyperlink r:id="rId10">
              <w:r>
                <w:rPr>
                  <w:rFonts w:ascii="Arial" w:eastAsia="Arial" w:hAnsi="Arial" w:cs="Arial"/>
                  <w:b/>
                  <w:color w:val="657786"/>
                  <w:sz w:val="21"/>
                  <w:szCs w:val="21"/>
                  <w:u w:val="single"/>
                  <w:shd w:val="clear" w:color="auto" w:fill="E6ECF0"/>
                </w:rPr>
                <w:t>@</w:t>
              </w:r>
            </w:hyperlink>
            <w:hyperlink r:id="rId11">
              <w:proofErr w:type="spellStart"/>
              <w:r>
                <w:rPr>
                  <w:rFonts w:ascii="Arial" w:eastAsia="Arial" w:hAnsi="Arial" w:cs="Arial"/>
                  <w:color w:val="657786"/>
                  <w:sz w:val="21"/>
                  <w:szCs w:val="21"/>
                  <w:u w:val="single"/>
                  <w:shd w:val="clear" w:color="auto" w:fill="E6ECF0"/>
                </w:rPr>
                <w:t>Antibiotics_Sea</w:t>
              </w:r>
              <w:proofErr w:type="spellEnd"/>
            </w:hyperlink>
            <w:r>
              <w:rPr>
                <w:rFonts w:ascii="Arial" w:eastAsia="Arial" w:hAnsi="Arial" w:cs="Arial"/>
              </w:rPr>
              <w:t xml:space="preserve"> and Instagram </w:t>
            </w:r>
            <w:proofErr w:type="spellStart"/>
            <w:r>
              <w:rPr>
                <w:rFonts w:ascii="Arial" w:eastAsia="Arial" w:hAnsi="Arial" w:cs="Arial"/>
              </w:rPr>
              <w:t>Antibiotics_sea</w:t>
            </w:r>
            <w:proofErr w:type="spellEnd"/>
            <w:r>
              <w:rPr>
                <w:rFonts w:ascii="Arial" w:eastAsia="Arial" w:hAnsi="Arial" w:cs="Arial"/>
              </w:rPr>
              <w:t xml:space="preserve"> accounts for the project and have been using these to promote the project along with forwarding posts on the topic of antibiotic resistance to spread the antibiotic resistance message to the general public.  The posts have been followed by a range of accounts including international and based on the popularity of these posts it is evident that nowadays social media is a great channel to spark the general public's interest in important topics and can be used as a tool for involvement in the project through dissemination of the research and its results. </w:t>
            </w:r>
          </w:p>
          <w:p w14:paraId="443B670D" w14:textId="77777777" w:rsidR="00814DF0" w:rsidRDefault="00814DF0">
            <w:pPr>
              <w:ind w:right="-330"/>
              <w:rPr>
                <w:rFonts w:ascii="Arial" w:eastAsia="Arial" w:hAnsi="Arial" w:cs="Arial"/>
              </w:rPr>
            </w:pPr>
          </w:p>
          <w:p w14:paraId="35ED2C19" w14:textId="77777777" w:rsidR="00814DF0" w:rsidRDefault="003E40A1">
            <w:pPr>
              <w:ind w:right="-330"/>
              <w:rPr>
                <w:rFonts w:ascii="Arial" w:eastAsia="Arial" w:hAnsi="Arial" w:cs="Arial"/>
                <w:b/>
              </w:rPr>
            </w:pPr>
            <w:r>
              <w:rPr>
                <w:rFonts w:ascii="Arial" w:eastAsia="Arial" w:hAnsi="Arial" w:cs="Arial"/>
                <w:b/>
              </w:rPr>
              <w:t>Laboratory findings</w:t>
            </w:r>
          </w:p>
          <w:p w14:paraId="66C194C5" w14:textId="77777777" w:rsidR="00814DF0" w:rsidRDefault="00814DF0">
            <w:pPr>
              <w:ind w:right="-330"/>
              <w:rPr>
                <w:rFonts w:ascii="Arial" w:eastAsia="Arial" w:hAnsi="Arial" w:cs="Arial"/>
                <w:b/>
              </w:rPr>
            </w:pPr>
          </w:p>
          <w:p w14:paraId="2B7533AB" w14:textId="77777777" w:rsidR="00814DF0" w:rsidRDefault="003E40A1">
            <w:pPr>
              <w:ind w:right="-330"/>
              <w:rPr>
                <w:rFonts w:ascii="Arial" w:eastAsia="Arial" w:hAnsi="Arial" w:cs="Arial"/>
                <w:b/>
              </w:rPr>
            </w:pPr>
            <w:r>
              <w:rPr>
                <w:rFonts w:ascii="Arial" w:eastAsia="Arial" w:hAnsi="Arial" w:cs="Arial"/>
                <w:b/>
              </w:rPr>
              <w:t>Colony morphology</w:t>
            </w:r>
          </w:p>
          <w:p w14:paraId="4A4BE264" w14:textId="77777777" w:rsidR="00814DF0" w:rsidRDefault="003E40A1">
            <w:pPr>
              <w:ind w:right="-330"/>
              <w:rPr>
                <w:rFonts w:ascii="Arial" w:eastAsia="Arial" w:hAnsi="Arial" w:cs="Arial"/>
              </w:rPr>
            </w:pPr>
            <w:r>
              <w:rPr>
                <w:rFonts w:ascii="Arial" w:eastAsia="Arial" w:hAnsi="Arial" w:cs="Arial"/>
              </w:rPr>
              <w:t>The colony morphology varied between cultures and was documented using the different descriptors used by the</w:t>
            </w:r>
            <w:r>
              <w:rPr>
                <w:rFonts w:ascii="Arial" w:eastAsia="Arial" w:hAnsi="Arial" w:cs="Arial"/>
                <w:color w:val="344043"/>
                <w:highlight w:val="white"/>
              </w:rPr>
              <w:t xml:space="preserve"> National Collection of Industrial Food and Marine Bacteria (NCIMB)</w:t>
            </w:r>
            <w:r>
              <w:rPr>
                <w:rFonts w:ascii="Arial" w:eastAsia="Arial" w:hAnsi="Arial" w:cs="Arial"/>
              </w:rPr>
              <w:t xml:space="preserve"> (Table 1) and by photomicrograph (Figure 3).  </w:t>
            </w:r>
          </w:p>
          <w:p w14:paraId="5C38E3CD" w14:textId="77777777" w:rsidR="00814DF0" w:rsidRDefault="00814DF0">
            <w:pPr>
              <w:ind w:right="-330"/>
              <w:rPr>
                <w:rFonts w:ascii="Arial" w:eastAsia="Arial" w:hAnsi="Arial" w:cs="Arial"/>
              </w:rPr>
            </w:pPr>
          </w:p>
          <w:p w14:paraId="0D8828A3" w14:textId="77777777" w:rsidR="00814DF0" w:rsidRDefault="00814DF0">
            <w:pPr>
              <w:ind w:right="-330"/>
              <w:rPr>
                <w:rFonts w:ascii="Arial" w:eastAsia="Arial" w:hAnsi="Arial" w:cs="Arial"/>
              </w:rPr>
            </w:pPr>
          </w:p>
          <w:tbl>
            <w:tblPr>
              <w:tblStyle w:val="af"/>
              <w:tblW w:w="98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1"/>
              <w:gridCol w:w="1232"/>
              <w:gridCol w:w="1232"/>
              <w:gridCol w:w="1232"/>
              <w:gridCol w:w="1233"/>
              <w:gridCol w:w="1233"/>
              <w:gridCol w:w="1233"/>
              <w:gridCol w:w="1233"/>
            </w:tblGrid>
            <w:tr w:rsidR="00814DF0" w14:paraId="39C9C179" w14:textId="77777777">
              <w:tc>
                <w:tcPr>
                  <w:tcW w:w="1232" w:type="dxa"/>
                  <w:tcBorders>
                    <w:top w:val="single" w:sz="8" w:space="0" w:color="000000"/>
                    <w:left w:val="single" w:sz="8" w:space="0" w:color="000000"/>
                    <w:bottom w:val="single" w:sz="8" w:space="0" w:color="000000"/>
                    <w:right w:val="single" w:sz="8" w:space="0" w:color="000000"/>
                  </w:tcBorders>
                  <w:tcMar>
                    <w:top w:w="100" w:type="dxa"/>
                    <w:left w:w="160" w:type="dxa"/>
                    <w:bottom w:w="100" w:type="dxa"/>
                    <w:right w:w="160" w:type="dxa"/>
                  </w:tcMar>
                </w:tcPr>
                <w:p w14:paraId="3B8B9DAD"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Culture</w:t>
                  </w:r>
                </w:p>
              </w:tc>
              <w:tc>
                <w:tcPr>
                  <w:tcW w:w="1232"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762CD2FB"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Colony Shape</w:t>
                  </w:r>
                </w:p>
              </w:tc>
              <w:tc>
                <w:tcPr>
                  <w:tcW w:w="1232"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30A6DEEC"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Colony Size (mm)</w:t>
                  </w:r>
                </w:p>
              </w:tc>
              <w:tc>
                <w:tcPr>
                  <w:tcW w:w="1232"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0CC2C167"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Elevation</w:t>
                  </w:r>
                </w:p>
              </w:tc>
              <w:tc>
                <w:tcPr>
                  <w:tcW w:w="1233"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268252B4"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Margin/</w:t>
                  </w:r>
                </w:p>
                <w:p w14:paraId="70AB8566"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Border</w:t>
                  </w:r>
                </w:p>
              </w:tc>
              <w:tc>
                <w:tcPr>
                  <w:tcW w:w="1233"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7F299B3A"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Surface</w:t>
                  </w:r>
                </w:p>
              </w:tc>
              <w:tc>
                <w:tcPr>
                  <w:tcW w:w="1233"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7A3505F7"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Opacity</w:t>
                  </w:r>
                </w:p>
              </w:tc>
              <w:tc>
                <w:tcPr>
                  <w:tcW w:w="1233" w:type="dxa"/>
                  <w:tcBorders>
                    <w:top w:val="single" w:sz="8" w:space="0" w:color="000000"/>
                    <w:left w:val="nil"/>
                    <w:bottom w:val="single" w:sz="8" w:space="0" w:color="000000"/>
                    <w:right w:val="single" w:sz="8" w:space="0" w:color="000000"/>
                  </w:tcBorders>
                  <w:tcMar>
                    <w:top w:w="100" w:type="dxa"/>
                    <w:left w:w="160" w:type="dxa"/>
                    <w:bottom w:w="100" w:type="dxa"/>
                    <w:right w:w="160" w:type="dxa"/>
                  </w:tcMar>
                </w:tcPr>
                <w:p w14:paraId="5F32C559" w14:textId="77777777" w:rsidR="00814DF0" w:rsidRDefault="003E40A1">
                  <w:pPr>
                    <w:widowControl w:val="0"/>
                    <w:jc w:val="center"/>
                    <w:rPr>
                      <w:rFonts w:ascii="Arial" w:eastAsia="Arial" w:hAnsi="Arial" w:cs="Arial"/>
                      <w:b/>
                      <w:sz w:val="18"/>
                      <w:szCs w:val="18"/>
                    </w:rPr>
                  </w:pPr>
                  <w:r>
                    <w:rPr>
                      <w:rFonts w:ascii="Arial" w:eastAsia="Arial" w:hAnsi="Arial" w:cs="Arial"/>
                      <w:b/>
                      <w:sz w:val="18"/>
                      <w:szCs w:val="18"/>
                    </w:rPr>
                    <w:t>Colour</w:t>
                  </w:r>
                </w:p>
              </w:tc>
            </w:tr>
            <w:tr w:rsidR="00814DF0" w14:paraId="13C20DCC" w14:textId="77777777">
              <w:tc>
                <w:tcPr>
                  <w:tcW w:w="1232" w:type="dxa"/>
                  <w:tcBorders>
                    <w:top w:val="nil"/>
                    <w:left w:val="single" w:sz="8" w:space="0" w:color="000000"/>
                    <w:bottom w:val="single" w:sz="8" w:space="0" w:color="000000"/>
                    <w:right w:val="single" w:sz="8" w:space="0" w:color="000000"/>
                  </w:tcBorders>
                  <w:tcMar>
                    <w:top w:w="100" w:type="dxa"/>
                    <w:left w:w="160" w:type="dxa"/>
                    <w:bottom w:w="100" w:type="dxa"/>
                    <w:right w:w="160" w:type="dxa"/>
                  </w:tcMar>
                </w:tcPr>
                <w:p w14:paraId="0C100624"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Port William PW6</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5DC85BFB"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Circular</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6A7DA245"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1</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70C71518" w14:textId="77777777" w:rsidR="00814DF0" w:rsidRDefault="003E40A1">
                  <w:pPr>
                    <w:widowControl w:val="0"/>
                    <w:jc w:val="center"/>
                    <w:rPr>
                      <w:rFonts w:ascii="Arial" w:eastAsia="Arial" w:hAnsi="Arial" w:cs="Arial"/>
                      <w:sz w:val="18"/>
                      <w:szCs w:val="18"/>
                    </w:rPr>
                  </w:pPr>
                  <w:proofErr w:type="spellStart"/>
                  <w:r>
                    <w:rPr>
                      <w:rFonts w:ascii="Arial" w:eastAsia="Arial" w:hAnsi="Arial" w:cs="Arial"/>
                      <w:sz w:val="18"/>
                      <w:szCs w:val="18"/>
                    </w:rPr>
                    <w:t>Pulvinate</w:t>
                  </w:r>
                  <w:proofErr w:type="spellEnd"/>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081265E"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Entire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15A9A650"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Smooth,</w:t>
                  </w:r>
                </w:p>
                <w:p w14:paraId="285E0D73"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Glistening</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3B36CC12"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Opaque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403F9978"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Pink</w:t>
                  </w:r>
                </w:p>
                <w:p w14:paraId="62EF5CA5"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/Peachy</w:t>
                  </w:r>
                </w:p>
              </w:tc>
            </w:tr>
            <w:tr w:rsidR="00814DF0" w14:paraId="7F702974" w14:textId="77777777">
              <w:tc>
                <w:tcPr>
                  <w:tcW w:w="1232" w:type="dxa"/>
                  <w:tcBorders>
                    <w:top w:val="nil"/>
                    <w:left w:val="single" w:sz="8" w:space="0" w:color="000000"/>
                    <w:bottom w:val="single" w:sz="8" w:space="0" w:color="000000"/>
                    <w:right w:val="single" w:sz="8" w:space="0" w:color="000000"/>
                  </w:tcBorders>
                  <w:tcMar>
                    <w:top w:w="100" w:type="dxa"/>
                    <w:left w:w="160" w:type="dxa"/>
                    <w:bottom w:w="100" w:type="dxa"/>
                    <w:right w:w="160" w:type="dxa"/>
                  </w:tcMar>
                </w:tcPr>
                <w:p w14:paraId="1697F526"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Montrose</w:t>
                  </w:r>
                </w:p>
                <w:p w14:paraId="5EA46275"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LY</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6362106C"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Rhizoid</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441CEAFB"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4</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246F80AB"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Flat</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64A7DFA9"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Lobate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173C316F"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Rough, Wrinkly</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7B413D65"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Opaque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10DD563D"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Orange</w:t>
                  </w:r>
                </w:p>
                <w:p w14:paraId="16421018"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/Yellow</w:t>
                  </w:r>
                </w:p>
              </w:tc>
            </w:tr>
            <w:tr w:rsidR="00814DF0" w14:paraId="3119418A" w14:textId="77777777">
              <w:tc>
                <w:tcPr>
                  <w:tcW w:w="1232" w:type="dxa"/>
                  <w:tcBorders>
                    <w:top w:val="nil"/>
                    <w:left w:val="single" w:sz="8" w:space="0" w:color="000000"/>
                    <w:bottom w:val="single" w:sz="8" w:space="0" w:color="000000"/>
                    <w:right w:val="single" w:sz="8" w:space="0" w:color="000000"/>
                  </w:tcBorders>
                  <w:tcMar>
                    <w:top w:w="100" w:type="dxa"/>
                    <w:left w:w="160" w:type="dxa"/>
                    <w:bottom w:w="100" w:type="dxa"/>
                    <w:right w:w="160" w:type="dxa"/>
                  </w:tcMar>
                </w:tcPr>
                <w:p w14:paraId="0CF344F3"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 xml:space="preserve">Weymouth </w:t>
                  </w:r>
                  <w:r>
                    <w:rPr>
                      <w:rFonts w:ascii="Arial" w:eastAsia="Arial" w:hAnsi="Arial" w:cs="Arial"/>
                      <w:sz w:val="18"/>
                      <w:szCs w:val="18"/>
                    </w:rPr>
                    <w:lastRenderedPageBreak/>
                    <w:t>B4</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6BA8D0DA"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lastRenderedPageBreak/>
                    <w:t>Irregular</w:t>
                  </w:r>
                </w:p>
                <w:p w14:paraId="46612C56"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lastRenderedPageBreak/>
                    <w:t>/Circular</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18EEC3E0"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lastRenderedPageBreak/>
                    <w:t>4</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1ADD19AE"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Flat</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F2EEF9E"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Undulate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36AB5E36"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 xml:space="preserve">Smooth, </w:t>
                  </w:r>
                  <w:r>
                    <w:rPr>
                      <w:rFonts w:ascii="Arial" w:eastAsia="Arial" w:hAnsi="Arial" w:cs="Arial"/>
                      <w:sz w:val="18"/>
                      <w:szCs w:val="18"/>
                    </w:rPr>
                    <w:lastRenderedPageBreak/>
                    <w:t>Glistening</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674A00FA"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lastRenderedPageBreak/>
                    <w:t>Opaque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1D145BFA"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Peachy</w:t>
                  </w:r>
                </w:p>
              </w:tc>
            </w:tr>
            <w:tr w:rsidR="00814DF0" w14:paraId="69D8703B" w14:textId="77777777">
              <w:tc>
                <w:tcPr>
                  <w:tcW w:w="1232" w:type="dxa"/>
                  <w:tcBorders>
                    <w:top w:val="nil"/>
                    <w:left w:val="single" w:sz="8" w:space="0" w:color="000000"/>
                    <w:bottom w:val="single" w:sz="8" w:space="0" w:color="000000"/>
                    <w:right w:val="single" w:sz="8" w:space="0" w:color="000000"/>
                  </w:tcBorders>
                  <w:tcMar>
                    <w:top w:w="100" w:type="dxa"/>
                    <w:left w:w="160" w:type="dxa"/>
                    <w:bottom w:w="100" w:type="dxa"/>
                    <w:right w:w="160" w:type="dxa"/>
                  </w:tcMar>
                </w:tcPr>
                <w:p w14:paraId="30F41C0E"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lastRenderedPageBreak/>
                    <w:t>Montrose</w:t>
                  </w:r>
                </w:p>
                <w:p w14:paraId="1FE52585"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MY1</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34DD3064"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Circular</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24963456"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2</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31629013"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Raised</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D3DF1A9"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Entire/</w:t>
                  </w:r>
                </w:p>
                <w:p w14:paraId="3C6CA22F"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Undulate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E96AAFC"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Smooth, Glistening</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652A4B14"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Opaque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28F2DB0"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Deep Yellow</w:t>
                  </w:r>
                </w:p>
              </w:tc>
            </w:tr>
            <w:tr w:rsidR="00814DF0" w14:paraId="69094729" w14:textId="77777777">
              <w:tc>
                <w:tcPr>
                  <w:tcW w:w="1232" w:type="dxa"/>
                  <w:tcBorders>
                    <w:top w:val="nil"/>
                    <w:left w:val="single" w:sz="8" w:space="0" w:color="000000"/>
                    <w:bottom w:val="single" w:sz="8" w:space="0" w:color="000000"/>
                    <w:right w:val="single" w:sz="8" w:space="0" w:color="000000"/>
                  </w:tcBorders>
                  <w:tcMar>
                    <w:top w:w="100" w:type="dxa"/>
                    <w:left w:w="160" w:type="dxa"/>
                    <w:bottom w:w="100" w:type="dxa"/>
                    <w:right w:w="160" w:type="dxa"/>
                  </w:tcMar>
                </w:tcPr>
                <w:p w14:paraId="2F568996"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Port William PW5</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25E90687"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Circular</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77AC2402"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2</w:t>
                  </w:r>
                </w:p>
                <w:p w14:paraId="21EE5F0F"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(some</w:t>
                  </w:r>
                </w:p>
                <w:p w14:paraId="50C17F84"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&lt;1)</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2A45C638"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Convex</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51D20EF6"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Lobate or Entire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0294CB30"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Smooth, Glistening</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1439F6B"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Opaque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3A47A171"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Yellow</w:t>
                  </w:r>
                </w:p>
              </w:tc>
            </w:tr>
            <w:tr w:rsidR="00814DF0" w14:paraId="0A896917" w14:textId="77777777">
              <w:tc>
                <w:tcPr>
                  <w:tcW w:w="1232" w:type="dxa"/>
                  <w:tcBorders>
                    <w:top w:val="nil"/>
                    <w:left w:val="single" w:sz="8" w:space="0" w:color="000000"/>
                    <w:bottom w:val="single" w:sz="8" w:space="0" w:color="000000"/>
                    <w:right w:val="single" w:sz="8" w:space="0" w:color="000000"/>
                  </w:tcBorders>
                  <w:tcMar>
                    <w:top w:w="100" w:type="dxa"/>
                    <w:left w:w="160" w:type="dxa"/>
                    <w:bottom w:w="100" w:type="dxa"/>
                    <w:right w:w="160" w:type="dxa"/>
                  </w:tcMar>
                </w:tcPr>
                <w:p w14:paraId="23FBEB4E"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New Quay NQ7</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127EC909"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Irregular</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24F30C81"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3.5</w:t>
                  </w:r>
                </w:p>
              </w:tc>
              <w:tc>
                <w:tcPr>
                  <w:tcW w:w="1232" w:type="dxa"/>
                  <w:tcBorders>
                    <w:top w:val="nil"/>
                    <w:left w:val="nil"/>
                    <w:bottom w:val="single" w:sz="8" w:space="0" w:color="000000"/>
                    <w:right w:val="single" w:sz="8" w:space="0" w:color="000000"/>
                  </w:tcBorders>
                  <w:tcMar>
                    <w:top w:w="100" w:type="dxa"/>
                    <w:left w:w="160" w:type="dxa"/>
                    <w:bottom w:w="100" w:type="dxa"/>
                    <w:right w:w="160" w:type="dxa"/>
                  </w:tcMar>
                </w:tcPr>
                <w:p w14:paraId="1B33671D" w14:textId="77777777" w:rsidR="00814DF0" w:rsidRDefault="003E40A1">
                  <w:pPr>
                    <w:widowControl w:val="0"/>
                    <w:jc w:val="center"/>
                    <w:rPr>
                      <w:rFonts w:ascii="Arial" w:eastAsia="Arial" w:hAnsi="Arial" w:cs="Arial"/>
                      <w:sz w:val="18"/>
                      <w:szCs w:val="18"/>
                    </w:rPr>
                  </w:pPr>
                  <w:proofErr w:type="spellStart"/>
                  <w:r>
                    <w:rPr>
                      <w:rFonts w:ascii="Arial" w:eastAsia="Arial" w:hAnsi="Arial" w:cs="Arial"/>
                      <w:sz w:val="18"/>
                      <w:szCs w:val="18"/>
                    </w:rPr>
                    <w:t>Umbonate</w:t>
                  </w:r>
                  <w:proofErr w:type="spellEnd"/>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1E078A7F"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Undulate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2258DE24"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Smooth, Glistening</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464EC0CD"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Opaque</w:t>
                  </w:r>
                </w:p>
              </w:tc>
              <w:tc>
                <w:tcPr>
                  <w:tcW w:w="1233" w:type="dxa"/>
                  <w:tcBorders>
                    <w:top w:val="nil"/>
                    <w:left w:val="nil"/>
                    <w:bottom w:val="single" w:sz="8" w:space="0" w:color="000000"/>
                    <w:right w:val="single" w:sz="8" w:space="0" w:color="000000"/>
                  </w:tcBorders>
                  <w:tcMar>
                    <w:top w:w="100" w:type="dxa"/>
                    <w:left w:w="160" w:type="dxa"/>
                    <w:bottom w:w="100" w:type="dxa"/>
                    <w:right w:w="160" w:type="dxa"/>
                  </w:tcMar>
                </w:tcPr>
                <w:p w14:paraId="56475B61" w14:textId="77777777" w:rsidR="00814DF0" w:rsidRDefault="003E40A1">
                  <w:pPr>
                    <w:widowControl w:val="0"/>
                    <w:jc w:val="center"/>
                    <w:rPr>
                      <w:rFonts w:ascii="Arial" w:eastAsia="Arial" w:hAnsi="Arial" w:cs="Arial"/>
                      <w:sz w:val="18"/>
                      <w:szCs w:val="18"/>
                    </w:rPr>
                  </w:pPr>
                  <w:r>
                    <w:rPr>
                      <w:rFonts w:ascii="Arial" w:eastAsia="Arial" w:hAnsi="Arial" w:cs="Arial"/>
                      <w:sz w:val="18"/>
                      <w:szCs w:val="18"/>
                    </w:rPr>
                    <w:t>Creamy</w:t>
                  </w:r>
                </w:p>
              </w:tc>
            </w:tr>
          </w:tbl>
          <w:p w14:paraId="54914A75" w14:textId="77777777" w:rsidR="00814DF0" w:rsidRDefault="00814DF0">
            <w:pPr>
              <w:ind w:right="-330"/>
              <w:rPr>
                <w:rFonts w:ascii="Arial" w:eastAsia="Arial" w:hAnsi="Arial" w:cs="Arial"/>
              </w:rPr>
            </w:pPr>
          </w:p>
          <w:p w14:paraId="64E23FB2" w14:textId="77777777" w:rsidR="00814DF0" w:rsidRDefault="003E40A1">
            <w:pPr>
              <w:ind w:right="-330"/>
              <w:rPr>
                <w:rFonts w:ascii="Arial" w:eastAsia="Arial" w:hAnsi="Arial" w:cs="Arial"/>
              </w:rPr>
            </w:pPr>
            <w:r>
              <w:rPr>
                <w:rFonts w:ascii="Arial" w:eastAsia="Arial" w:hAnsi="Arial" w:cs="Arial"/>
                <w:b/>
              </w:rPr>
              <w:t>Table 1.</w:t>
            </w:r>
            <w:r>
              <w:rPr>
                <w:rFonts w:ascii="Arial" w:eastAsia="Arial" w:hAnsi="Arial" w:cs="Arial"/>
              </w:rPr>
              <w:t xml:space="preserve"> Description of the colony morphology of the six selected cultures. The description is based on the colony size, shape, elevation, margin, surface, opacity and colour.</w:t>
            </w:r>
          </w:p>
          <w:p w14:paraId="56B27DA8" w14:textId="77777777" w:rsidR="00814DF0" w:rsidRDefault="00814DF0">
            <w:pPr>
              <w:ind w:right="-330"/>
              <w:rPr>
                <w:rFonts w:ascii="Arial" w:eastAsia="Arial" w:hAnsi="Arial" w:cs="Arial"/>
              </w:rPr>
            </w:pPr>
          </w:p>
          <w:p w14:paraId="188B88C0" w14:textId="77777777" w:rsidR="00814DF0" w:rsidRDefault="00814DF0">
            <w:pPr>
              <w:ind w:right="-330"/>
              <w:rPr>
                <w:rFonts w:ascii="Arial" w:eastAsia="Arial" w:hAnsi="Arial" w:cs="Arial"/>
              </w:rPr>
            </w:pPr>
          </w:p>
          <w:p w14:paraId="3C09E4BF" w14:textId="77777777" w:rsidR="00814DF0" w:rsidRDefault="003E40A1">
            <w:pPr>
              <w:ind w:right="-330"/>
              <w:rPr>
                <w:rFonts w:ascii="Arial" w:eastAsia="Arial" w:hAnsi="Arial" w:cs="Arial"/>
              </w:rPr>
            </w:pPr>
            <w:r>
              <w:rPr>
                <w:rFonts w:ascii="Arial" w:eastAsia="Arial" w:hAnsi="Arial" w:cs="Arial"/>
                <w:noProof/>
                <w:lang w:eastAsia="en-GB"/>
              </w:rPr>
              <w:drawing>
                <wp:inline distT="114300" distB="114300" distL="114300" distR="114300" wp14:anchorId="29159D52" wp14:editId="3D412A3B">
                  <wp:extent cx="4410075" cy="4610100"/>
                  <wp:effectExtent l="0" t="0" r="0" b="0"/>
                  <wp:docPr id="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4410075" cy="4610100"/>
                          </a:xfrm>
                          <a:prstGeom prst="rect">
                            <a:avLst/>
                          </a:prstGeom>
                          <a:ln/>
                        </pic:spPr>
                      </pic:pic>
                    </a:graphicData>
                  </a:graphic>
                </wp:inline>
              </w:drawing>
            </w:r>
          </w:p>
          <w:p w14:paraId="629959A9" w14:textId="77777777" w:rsidR="00814DF0" w:rsidRDefault="003E40A1">
            <w:pPr>
              <w:ind w:right="-330"/>
              <w:rPr>
                <w:rFonts w:ascii="Arial" w:eastAsia="Arial" w:hAnsi="Arial" w:cs="Arial"/>
              </w:rPr>
            </w:pPr>
            <w:r>
              <w:rPr>
                <w:rFonts w:ascii="Arial" w:eastAsia="Arial" w:hAnsi="Arial" w:cs="Arial"/>
                <w:b/>
              </w:rPr>
              <w:t>Figure 3.</w:t>
            </w:r>
            <w:r>
              <w:rPr>
                <w:rFonts w:ascii="Arial" w:eastAsia="Arial" w:hAnsi="Arial" w:cs="Arial"/>
              </w:rPr>
              <w:t xml:space="preserve"> Photomicrographs of the marine bacteria cultures used in this project, demonstrating colony morphology when grown at 26 °C on </w:t>
            </w:r>
            <w:proofErr w:type="spellStart"/>
            <w:r>
              <w:rPr>
                <w:rFonts w:ascii="Arial" w:eastAsia="Arial" w:hAnsi="Arial" w:cs="Arial"/>
              </w:rPr>
              <w:t>Difco</w:t>
            </w:r>
            <w:proofErr w:type="spellEnd"/>
            <w:r>
              <w:rPr>
                <w:rFonts w:ascii="Arial" w:eastAsia="Arial" w:hAnsi="Arial" w:cs="Arial"/>
              </w:rPr>
              <w:t xml:space="preserve"> Marine agar  (A) Port William PW6, (B) Montrose LY, (C) Weymouth B4, (D) Montrose MY1 (E) Port William PW5 (F) New Quay NQ6. Scale Bar = 1.0 mm</w:t>
            </w:r>
          </w:p>
          <w:p w14:paraId="3011A646" w14:textId="77777777" w:rsidR="00814DF0" w:rsidRDefault="00814DF0">
            <w:pPr>
              <w:ind w:right="-330"/>
              <w:rPr>
                <w:rFonts w:ascii="Arial" w:eastAsia="Arial" w:hAnsi="Arial" w:cs="Arial"/>
              </w:rPr>
            </w:pPr>
          </w:p>
          <w:p w14:paraId="3024AB44" w14:textId="77777777" w:rsidR="00814DF0" w:rsidRDefault="00814DF0">
            <w:pPr>
              <w:ind w:right="-330"/>
              <w:rPr>
                <w:rFonts w:ascii="Arial" w:eastAsia="Arial" w:hAnsi="Arial" w:cs="Arial"/>
              </w:rPr>
            </w:pPr>
          </w:p>
          <w:p w14:paraId="09CB0F65" w14:textId="77777777" w:rsidR="00814DF0" w:rsidRDefault="00814DF0">
            <w:pPr>
              <w:ind w:right="-330"/>
              <w:rPr>
                <w:rFonts w:ascii="Arial" w:eastAsia="Arial" w:hAnsi="Arial" w:cs="Arial"/>
              </w:rPr>
            </w:pPr>
          </w:p>
          <w:p w14:paraId="4E1A584D" w14:textId="77777777" w:rsidR="00814DF0" w:rsidRDefault="00814DF0">
            <w:pPr>
              <w:ind w:right="-330"/>
              <w:rPr>
                <w:rFonts w:ascii="Arial" w:eastAsia="Arial" w:hAnsi="Arial" w:cs="Arial"/>
              </w:rPr>
            </w:pPr>
          </w:p>
          <w:p w14:paraId="63BA6E2B" w14:textId="77777777" w:rsidR="00814DF0" w:rsidRDefault="00814DF0">
            <w:pPr>
              <w:ind w:right="-330"/>
              <w:rPr>
                <w:rFonts w:ascii="Arial" w:eastAsia="Arial" w:hAnsi="Arial" w:cs="Arial"/>
              </w:rPr>
            </w:pPr>
          </w:p>
          <w:p w14:paraId="02214C8E" w14:textId="77777777" w:rsidR="00814DF0" w:rsidRDefault="00814DF0">
            <w:pPr>
              <w:ind w:right="-330"/>
              <w:rPr>
                <w:rFonts w:ascii="Arial" w:eastAsia="Arial" w:hAnsi="Arial" w:cs="Arial"/>
              </w:rPr>
            </w:pPr>
          </w:p>
          <w:p w14:paraId="52828A66" w14:textId="77777777" w:rsidR="00814DF0" w:rsidRDefault="003E40A1">
            <w:pPr>
              <w:ind w:right="-330"/>
              <w:rPr>
                <w:rFonts w:ascii="Arial" w:eastAsia="Arial" w:hAnsi="Arial" w:cs="Arial"/>
                <w:b/>
              </w:rPr>
            </w:pPr>
            <w:r>
              <w:rPr>
                <w:rFonts w:ascii="Arial" w:eastAsia="Arial" w:hAnsi="Arial" w:cs="Arial"/>
                <w:b/>
              </w:rPr>
              <w:t xml:space="preserve">Growth of marine bacteria in </w:t>
            </w:r>
            <w:proofErr w:type="spellStart"/>
            <w:r>
              <w:rPr>
                <w:rFonts w:ascii="Arial" w:eastAsia="Arial" w:hAnsi="Arial" w:cs="Arial"/>
                <w:b/>
              </w:rPr>
              <w:t>Difco</w:t>
            </w:r>
            <w:proofErr w:type="spellEnd"/>
            <w:r>
              <w:rPr>
                <w:rFonts w:ascii="Arial" w:eastAsia="Arial" w:hAnsi="Arial" w:cs="Arial"/>
                <w:b/>
              </w:rPr>
              <w:t xml:space="preserve"> marine broth</w:t>
            </w:r>
          </w:p>
          <w:p w14:paraId="75044857" w14:textId="77777777" w:rsidR="00814DF0" w:rsidRDefault="003E40A1">
            <w:pPr>
              <w:ind w:right="-330"/>
              <w:rPr>
                <w:rFonts w:ascii="Arial" w:eastAsia="Arial" w:hAnsi="Arial" w:cs="Arial"/>
              </w:rPr>
            </w:pPr>
            <w:r>
              <w:rPr>
                <w:rFonts w:ascii="Arial" w:eastAsia="Arial" w:hAnsi="Arial" w:cs="Arial"/>
              </w:rPr>
              <w:t xml:space="preserve">All marine bacteria (except PW6) grew well in the marine broth using the incubation conditions of 26 </w:t>
            </w:r>
            <w:proofErr w:type="spellStart"/>
            <w:r w:rsidRPr="00A619A6">
              <w:rPr>
                <w:rFonts w:ascii="Arial" w:eastAsia="Arial" w:hAnsi="Arial" w:cs="Arial"/>
                <w:vertAlign w:val="superscript"/>
              </w:rPr>
              <w:t>o</w:t>
            </w:r>
            <w:r>
              <w:rPr>
                <w:rFonts w:ascii="Arial" w:eastAsia="Arial" w:hAnsi="Arial" w:cs="Arial"/>
              </w:rPr>
              <w:t>C</w:t>
            </w:r>
            <w:proofErr w:type="spellEnd"/>
            <w:r>
              <w:rPr>
                <w:rFonts w:ascii="Arial" w:eastAsia="Arial" w:hAnsi="Arial" w:cs="Arial"/>
              </w:rPr>
              <w:t xml:space="preserve"> and 150 RPM, reaching an OD of &gt;0.6 on inoculation of marine colony to broth within 24 hours, and the pigmentation seen when grown on Petri dishes remained when the culture was grown in the broth (Figure 4).  </w:t>
            </w:r>
          </w:p>
          <w:p w14:paraId="405827EB" w14:textId="77777777" w:rsidR="00814DF0" w:rsidRDefault="00814DF0">
            <w:pPr>
              <w:ind w:right="-330"/>
              <w:rPr>
                <w:rFonts w:ascii="Arial" w:eastAsia="Arial" w:hAnsi="Arial" w:cs="Arial"/>
              </w:rPr>
            </w:pPr>
          </w:p>
          <w:p w14:paraId="11003505" w14:textId="77777777" w:rsidR="00814DF0" w:rsidRDefault="003E40A1">
            <w:pPr>
              <w:ind w:right="-330"/>
              <w:rPr>
                <w:rFonts w:ascii="Arial" w:eastAsia="Arial" w:hAnsi="Arial" w:cs="Arial"/>
                <w:b/>
              </w:rPr>
            </w:pPr>
            <w:r>
              <w:rPr>
                <w:rFonts w:ascii="Arial" w:eastAsia="Arial" w:hAnsi="Arial" w:cs="Arial"/>
              </w:rPr>
              <w:t xml:space="preserve">   </w:t>
            </w:r>
            <w:r>
              <w:rPr>
                <w:rFonts w:ascii="Arial" w:eastAsia="Arial" w:hAnsi="Arial" w:cs="Arial"/>
                <w:b/>
              </w:rPr>
              <w:t>A</w:t>
            </w:r>
          </w:p>
          <w:p w14:paraId="4FFEC1B4" w14:textId="77777777" w:rsidR="00814DF0" w:rsidRDefault="003E40A1">
            <w:pPr>
              <w:ind w:right="-330"/>
              <w:jc w:val="center"/>
              <w:rPr>
                <w:rFonts w:ascii="Arial" w:eastAsia="Arial" w:hAnsi="Arial" w:cs="Arial"/>
              </w:rPr>
            </w:pPr>
            <w:r>
              <w:rPr>
                <w:rFonts w:ascii="Arial" w:eastAsia="Arial" w:hAnsi="Arial" w:cs="Arial"/>
                <w:noProof/>
                <w:lang w:eastAsia="en-GB"/>
              </w:rPr>
              <w:drawing>
                <wp:inline distT="114300" distB="114300" distL="114300" distR="114300" wp14:anchorId="07FDF24D" wp14:editId="344537C9">
                  <wp:extent cx="4148138" cy="4078094"/>
                  <wp:effectExtent l="0" t="0" r="0" b="0"/>
                  <wp:docPr id="2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4148138" cy="4078094"/>
                          </a:xfrm>
                          <a:prstGeom prst="rect">
                            <a:avLst/>
                          </a:prstGeom>
                          <a:ln/>
                        </pic:spPr>
                      </pic:pic>
                    </a:graphicData>
                  </a:graphic>
                </wp:inline>
              </w:drawing>
            </w:r>
          </w:p>
          <w:p w14:paraId="7B59FBC4" w14:textId="77777777" w:rsidR="00814DF0" w:rsidRDefault="003E40A1">
            <w:pPr>
              <w:ind w:right="-330"/>
              <w:rPr>
                <w:rFonts w:ascii="Arial" w:eastAsia="Arial" w:hAnsi="Arial" w:cs="Arial"/>
                <w:b/>
              </w:rPr>
            </w:pPr>
            <w:r>
              <w:rPr>
                <w:rFonts w:ascii="Arial" w:eastAsia="Arial" w:hAnsi="Arial" w:cs="Arial"/>
                <w:b/>
              </w:rPr>
              <w:t xml:space="preserve">   B</w:t>
            </w:r>
          </w:p>
          <w:p w14:paraId="461C8530" w14:textId="77777777" w:rsidR="00814DF0" w:rsidRDefault="003E40A1">
            <w:pPr>
              <w:ind w:right="-330"/>
              <w:rPr>
                <w:rFonts w:ascii="Arial" w:eastAsia="Arial" w:hAnsi="Arial" w:cs="Arial"/>
              </w:rPr>
            </w:pPr>
            <w:r>
              <w:rPr>
                <w:rFonts w:ascii="Arial" w:eastAsia="Arial" w:hAnsi="Arial" w:cs="Arial"/>
                <w:noProof/>
                <w:lang w:eastAsia="en-GB"/>
              </w:rPr>
              <w:drawing>
                <wp:inline distT="114300" distB="114300" distL="114300" distR="114300" wp14:anchorId="5E79DC41" wp14:editId="04039956">
                  <wp:extent cx="6257925" cy="2908300"/>
                  <wp:effectExtent l="0" t="0" r="0" b="0"/>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6257925" cy="2908300"/>
                          </a:xfrm>
                          <a:prstGeom prst="rect">
                            <a:avLst/>
                          </a:prstGeom>
                          <a:ln/>
                        </pic:spPr>
                      </pic:pic>
                    </a:graphicData>
                  </a:graphic>
                </wp:inline>
              </w:drawing>
            </w:r>
          </w:p>
          <w:p w14:paraId="4F2E6D5C" w14:textId="77777777" w:rsidR="00814DF0" w:rsidRDefault="003E40A1">
            <w:pPr>
              <w:ind w:right="-330"/>
              <w:rPr>
                <w:rFonts w:ascii="Arial" w:eastAsia="Arial" w:hAnsi="Arial" w:cs="Arial"/>
              </w:rPr>
            </w:pPr>
            <w:r>
              <w:rPr>
                <w:rFonts w:ascii="Arial" w:eastAsia="Arial" w:hAnsi="Arial" w:cs="Arial"/>
                <w:b/>
              </w:rPr>
              <w:t xml:space="preserve">Figure 4 (A) </w:t>
            </w:r>
            <w:r>
              <w:rPr>
                <w:rFonts w:ascii="Arial" w:eastAsia="Arial" w:hAnsi="Arial" w:cs="Arial"/>
              </w:rPr>
              <w:t xml:space="preserve">Marine agar dishes of marine bacteria used in this experiment showing streak plate growth clockwise from top left to right PW5, B4, NQ7, PW6, MY1 and LY in the centre  </w:t>
            </w:r>
            <w:r>
              <w:rPr>
                <w:rFonts w:ascii="Arial" w:eastAsia="Arial" w:hAnsi="Arial" w:cs="Arial"/>
                <w:b/>
              </w:rPr>
              <w:t xml:space="preserve">(B) </w:t>
            </w:r>
            <w:r>
              <w:rPr>
                <w:rFonts w:ascii="Arial" w:eastAsia="Arial" w:hAnsi="Arial" w:cs="Arial"/>
              </w:rPr>
              <w:t>Marine bacteria cultures growing in the marine broth showing retention of pigment when grown in broth at 26 °C and 150 RPM incubation. Left to right NQ7, PW5, MY1, B4 and LY.  Culture PW6 is not shown.</w:t>
            </w:r>
          </w:p>
          <w:p w14:paraId="432643FB" w14:textId="77777777" w:rsidR="00814DF0" w:rsidRDefault="00814DF0">
            <w:pPr>
              <w:ind w:right="-330"/>
              <w:rPr>
                <w:rFonts w:ascii="Arial" w:eastAsia="Arial" w:hAnsi="Arial" w:cs="Arial"/>
              </w:rPr>
            </w:pPr>
          </w:p>
          <w:p w14:paraId="2E0ABAB1" w14:textId="77777777" w:rsidR="00814DF0" w:rsidRDefault="003E40A1">
            <w:pPr>
              <w:ind w:right="-330"/>
              <w:rPr>
                <w:rFonts w:ascii="Arial" w:eastAsia="Arial" w:hAnsi="Arial" w:cs="Arial"/>
                <w:b/>
              </w:rPr>
            </w:pPr>
            <w:r>
              <w:rPr>
                <w:rFonts w:ascii="Arial" w:eastAsia="Arial" w:hAnsi="Arial" w:cs="Arial"/>
                <w:b/>
              </w:rPr>
              <w:t>Disc diffusion assay</w:t>
            </w:r>
          </w:p>
          <w:p w14:paraId="6CA8EF37" w14:textId="77777777" w:rsidR="00814DF0" w:rsidRDefault="003E40A1">
            <w:pPr>
              <w:ind w:right="-330"/>
              <w:rPr>
                <w:rFonts w:ascii="Arial" w:eastAsia="Arial" w:hAnsi="Arial" w:cs="Arial"/>
              </w:rPr>
            </w:pPr>
            <w:r>
              <w:rPr>
                <w:rFonts w:ascii="Arial" w:eastAsia="Arial" w:hAnsi="Arial" w:cs="Arial"/>
              </w:rPr>
              <w:t xml:space="preserve">The disc diffusion assay results indicated that the positive control (Tetracycline 30 </w:t>
            </w:r>
            <w:r>
              <w:rPr>
                <w:rFonts w:ascii="Cambria Math" w:eastAsia="Cambria Math" w:hAnsi="Cambria Math" w:cs="Cambria Math"/>
              </w:rPr>
              <w:t>𝞵</w:t>
            </w:r>
            <w:r>
              <w:rPr>
                <w:rFonts w:ascii="Arial" w:eastAsia="Arial" w:hAnsi="Arial" w:cs="Arial"/>
              </w:rPr>
              <w:t xml:space="preserve">g) worked for each of the plates, producing a zone of inhibition of 25-29 mm and the negative control of the marine broth resulted in no inhibition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rPr>
              <w:t xml:space="preserve">, indicating that the marine broth does not inhibit growth </w:t>
            </w:r>
            <w:proofErr w:type="gramStart"/>
            <w:r>
              <w:rPr>
                <w:rFonts w:ascii="Arial" w:eastAsia="Arial" w:hAnsi="Arial" w:cs="Arial"/>
              </w:rPr>
              <w:t>( see</w:t>
            </w:r>
            <w:proofErr w:type="gramEnd"/>
            <w:r>
              <w:rPr>
                <w:rFonts w:ascii="Arial" w:eastAsia="Arial" w:hAnsi="Arial" w:cs="Arial"/>
              </w:rPr>
              <w:t xml:space="preserve"> example in Figure 4).  No entire zone of inhibition was found from any of the discs loaded with the crude marine bacteria broths (Table 3) although for the NQ7 ‘new’ sample there was a small region near </w:t>
            </w:r>
            <w:r>
              <w:rPr>
                <w:rFonts w:ascii="Arial" w:eastAsia="Arial" w:hAnsi="Arial" w:cs="Arial"/>
              </w:rPr>
              <w:lastRenderedPageBreak/>
              <w:t xml:space="preserve">the discs loaded with 40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where the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s</w:t>
            </w:r>
            <w:r>
              <w:rPr>
                <w:rFonts w:ascii="Arial" w:eastAsia="Arial" w:hAnsi="Arial" w:cs="Arial"/>
              </w:rPr>
              <w:t xml:space="preserve">eems not to have grown, although discs loaded with higher volumes showed no inhibition, and so this may be an artefact of the way the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rPr>
              <w:t xml:space="preserve"> was swabbed on the plate with growth not being confluent (Figure 5).</w:t>
            </w:r>
          </w:p>
          <w:p w14:paraId="27EE05CC" w14:textId="77777777" w:rsidR="00814DF0" w:rsidRDefault="00814DF0">
            <w:pPr>
              <w:ind w:right="-330"/>
              <w:rPr>
                <w:rFonts w:ascii="Arial" w:eastAsia="Arial" w:hAnsi="Arial" w:cs="Arial"/>
              </w:rPr>
            </w:pPr>
          </w:p>
          <w:tbl>
            <w:tblPr>
              <w:tblStyle w:val="af0"/>
              <w:tblW w:w="98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0"/>
              <w:gridCol w:w="1411"/>
              <w:gridCol w:w="1186"/>
              <w:gridCol w:w="1418"/>
              <w:gridCol w:w="1418"/>
              <w:gridCol w:w="1418"/>
              <w:gridCol w:w="1418"/>
            </w:tblGrid>
            <w:tr w:rsidR="00814DF0" w14:paraId="71F414BC" w14:textId="77777777">
              <w:trPr>
                <w:trHeight w:val="420"/>
              </w:trPr>
              <w:tc>
                <w:tcPr>
                  <w:tcW w:w="1591" w:type="dxa"/>
                  <w:shd w:val="clear" w:color="auto" w:fill="auto"/>
                  <w:tcMar>
                    <w:top w:w="100" w:type="dxa"/>
                    <w:left w:w="100" w:type="dxa"/>
                    <w:bottom w:w="100" w:type="dxa"/>
                    <w:right w:w="100" w:type="dxa"/>
                  </w:tcMar>
                </w:tcPr>
                <w:p w14:paraId="71611D7A" w14:textId="77777777" w:rsidR="00814DF0" w:rsidRDefault="00814DF0">
                  <w:pPr>
                    <w:widowControl w:val="0"/>
                    <w:pBdr>
                      <w:top w:val="nil"/>
                      <w:left w:val="nil"/>
                      <w:bottom w:val="nil"/>
                      <w:right w:val="nil"/>
                      <w:between w:val="nil"/>
                    </w:pBdr>
                    <w:rPr>
                      <w:rFonts w:ascii="Arial" w:eastAsia="Arial" w:hAnsi="Arial" w:cs="Arial"/>
                    </w:rPr>
                  </w:pPr>
                </w:p>
              </w:tc>
              <w:tc>
                <w:tcPr>
                  <w:tcW w:w="8269" w:type="dxa"/>
                  <w:gridSpan w:val="6"/>
                  <w:shd w:val="clear" w:color="auto" w:fill="auto"/>
                  <w:tcMar>
                    <w:top w:w="100" w:type="dxa"/>
                    <w:left w:w="100" w:type="dxa"/>
                    <w:bottom w:w="100" w:type="dxa"/>
                    <w:right w:w="100" w:type="dxa"/>
                  </w:tcMar>
                </w:tcPr>
                <w:p w14:paraId="35B4BE44"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Disc/Sample loaded on disc and measured zone of inhibition (mm)</w:t>
                  </w:r>
                </w:p>
              </w:tc>
            </w:tr>
            <w:tr w:rsidR="00814DF0" w14:paraId="665018C6" w14:textId="77777777">
              <w:tc>
                <w:tcPr>
                  <w:tcW w:w="1591" w:type="dxa"/>
                  <w:shd w:val="clear" w:color="auto" w:fill="auto"/>
                  <w:tcMar>
                    <w:top w:w="100" w:type="dxa"/>
                    <w:left w:w="100" w:type="dxa"/>
                    <w:bottom w:w="100" w:type="dxa"/>
                    <w:right w:w="100" w:type="dxa"/>
                  </w:tcMar>
                </w:tcPr>
                <w:p w14:paraId="3BCC6EED" w14:textId="77777777" w:rsidR="00814DF0" w:rsidRDefault="003E40A1">
                  <w:pPr>
                    <w:widowControl w:val="0"/>
                    <w:pBdr>
                      <w:top w:val="nil"/>
                      <w:left w:val="nil"/>
                      <w:bottom w:val="nil"/>
                      <w:right w:val="nil"/>
                      <w:between w:val="nil"/>
                    </w:pBdr>
                    <w:rPr>
                      <w:rFonts w:ascii="Arial" w:eastAsia="Arial" w:hAnsi="Arial" w:cs="Arial"/>
                      <w:b/>
                    </w:rPr>
                  </w:pPr>
                  <w:r>
                    <w:rPr>
                      <w:rFonts w:ascii="Arial" w:eastAsia="Arial" w:hAnsi="Arial" w:cs="Arial"/>
                      <w:b/>
                    </w:rPr>
                    <w:t>Culture Name</w:t>
                  </w:r>
                </w:p>
              </w:tc>
              <w:tc>
                <w:tcPr>
                  <w:tcW w:w="1411" w:type="dxa"/>
                  <w:shd w:val="clear" w:color="auto" w:fill="auto"/>
                  <w:tcMar>
                    <w:top w:w="100" w:type="dxa"/>
                    <w:left w:w="100" w:type="dxa"/>
                    <w:bottom w:w="100" w:type="dxa"/>
                    <w:right w:w="100" w:type="dxa"/>
                  </w:tcMar>
                </w:tcPr>
                <w:p w14:paraId="2CC8530A"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 xml:space="preserve">Positive control Tet (30 </w:t>
                  </w:r>
                  <w:r>
                    <w:rPr>
                      <w:rFonts w:ascii="Cambria Math" w:eastAsia="Cambria Math" w:hAnsi="Cambria Math" w:cs="Cambria Math"/>
                    </w:rPr>
                    <w:t>𝞵</w:t>
                  </w:r>
                  <w:r>
                    <w:rPr>
                      <w:rFonts w:ascii="Arial" w:eastAsia="Arial" w:hAnsi="Arial" w:cs="Arial"/>
                      <w:b/>
                    </w:rPr>
                    <w:t xml:space="preserve">g) </w:t>
                  </w:r>
                </w:p>
              </w:tc>
              <w:tc>
                <w:tcPr>
                  <w:tcW w:w="1186" w:type="dxa"/>
                  <w:shd w:val="clear" w:color="auto" w:fill="auto"/>
                  <w:tcMar>
                    <w:top w:w="100" w:type="dxa"/>
                    <w:left w:w="100" w:type="dxa"/>
                    <w:bottom w:w="100" w:type="dxa"/>
                    <w:right w:w="100" w:type="dxa"/>
                  </w:tcMar>
                </w:tcPr>
                <w:p w14:paraId="1C26716A"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 xml:space="preserve">Negative control (marine broth) </w:t>
                  </w:r>
                </w:p>
              </w:tc>
              <w:tc>
                <w:tcPr>
                  <w:tcW w:w="1418" w:type="dxa"/>
                  <w:shd w:val="clear" w:color="auto" w:fill="auto"/>
                  <w:tcMar>
                    <w:top w:w="100" w:type="dxa"/>
                    <w:left w:w="100" w:type="dxa"/>
                    <w:bottom w:w="100" w:type="dxa"/>
                    <w:right w:w="100" w:type="dxa"/>
                  </w:tcMar>
                </w:tcPr>
                <w:p w14:paraId="09D9ADA1" w14:textId="77777777" w:rsidR="00814DF0" w:rsidRDefault="003E40A1">
                  <w:pPr>
                    <w:widowControl w:val="0"/>
                    <w:pBdr>
                      <w:top w:val="nil"/>
                      <w:left w:val="nil"/>
                      <w:bottom w:val="nil"/>
                      <w:right w:val="nil"/>
                      <w:between w:val="nil"/>
                    </w:pBdr>
                    <w:jc w:val="center"/>
                    <w:rPr>
                      <w:rFonts w:ascii="Arial" w:eastAsia="Arial" w:hAnsi="Arial" w:cs="Arial"/>
                      <w:b/>
                    </w:rPr>
                  </w:pPr>
                  <w:r>
                    <w:rPr>
                      <w:rFonts w:ascii="Arial" w:eastAsia="Arial" w:hAnsi="Arial" w:cs="Arial"/>
                      <w:b/>
                    </w:rPr>
                    <w:t xml:space="preserve">40 </w:t>
                  </w:r>
                  <w:r>
                    <w:rPr>
                      <w:rFonts w:ascii="Cambria Math" w:eastAsia="Cambria Math" w:hAnsi="Cambria Math" w:cs="Cambria Math"/>
                      <w:b/>
                    </w:rPr>
                    <w:t>𝞵</w:t>
                  </w:r>
                  <w:r>
                    <w:rPr>
                      <w:rFonts w:ascii="Arial" w:eastAsia="Arial" w:hAnsi="Arial" w:cs="Arial"/>
                      <w:b/>
                    </w:rPr>
                    <w:t xml:space="preserve">L </w:t>
                  </w:r>
                </w:p>
              </w:tc>
              <w:tc>
                <w:tcPr>
                  <w:tcW w:w="1418" w:type="dxa"/>
                  <w:shd w:val="clear" w:color="auto" w:fill="auto"/>
                  <w:tcMar>
                    <w:top w:w="100" w:type="dxa"/>
                    <w:left w:w="100" w:type="dxa"/>
                    <w:bottom w:w="100" w:type="dxa"/>
                    <w:right w:w="100" w:type="dxa"/>
                  </w:tcMar>
                </w:tcPr>
                <w:p w14:paraId="7EE69CDA" w14:textId="77777777" w:rsidR="00814DF0" w:rsidRDefault="003E40A1">
                  <w:pPr>
                    <w:widowControl w:val="0"/>
                    <w:jc w:val="center"/>
                    <w:rPr>
                      <w:rFonts w:ascii="Arial" w:eastAsia="Arial" w:hAnsi="Arial" w:cs="Arial"/>
                      <w:b/>
                    </w:rPr>
                  </w:pPr>
                  <w:r>
                    <w:rPr>
                      <w:rFonts w:ascii="Arial" w:eastAsia="Arial" w:hAnsi="Arial" w:cs="Arial"/>
                      <w:b/>
                    </w:rPr>
                    <w:t xml:space="preserve">60 </w:t>
                  </w:r>
                  <w:r>
                    <w:rPr>
                      <w:rFonts w:ascii="Cambria Math" w:eastAsia="Cambria Math" w:hAnsi="Cambria Math" w:cs="Cambria Math"/>
                      <w:b/>
                    </w:rPr>
                    <w:t>𝞵</w:t>
                  </w:r>
                  <w:r>
                    <w:rPr>
                      <w:rFonts w:ascii="Arial" w:eastAsia="Arial" w:hAnsi="Arial" w:cs="Arial"/>
                      <w:b/>
                    </w:rPr>
                    <w:t xml:space="preserve">L </w:t>
                  </w:r>
                </w:p>
              </w:tc>
              <w:tc>
                <w:tcPr>
                  <w:tcW w:w="1418" w:type="dxa"/>
                  <w:shd w:val="clear" w:color="auto" w:fill="auto"/>
                  <w:tcMar>
                    <w:top w:w="100" w:type="dxa"/>
                    <w:left w:w="100" w:type="dxa"/>
                    <w:bottom w:w="100" w:type="dxa"/>
                    <w:right w:w="100" w:type="dxa"/>
                  </w:tcMar>
                </w:tcPr>
                <w:p w14:paraId="701C4D34" w14:textId="77777777" w:rsidR="00814DF0" w:rsidRDefault="003E40A1">
                  <w:pPr>
                    <w:widowControl w:val="0"/>
                    <w:jc w:val="center"/>
                    <w:rPr>
                      <w:rFonts w:ascii="Arial" w:eastAsia="Arial" w:hAnsi="Arial" w:cs="Arial"/>
                      <w:b/>
                    </w:rPr>
                  </w:pPr>
                  <w:r>
                    <w:rPr>
                      <w:rFonts w:ascii="Arial" w:eastAsia="Arial" w:hAnsi="Arial" w:cs="Arial"/>
                      <w:b/>
                    </w:rPr>
                    <w:t xml:space="preserve">80 </w:t>
                  </w:r>
                  <w:r>
                    <w:rPr>
                      <w:rFonts w:ascii="Cambria Math" w:eastAsia="Cambria Math" w:hAnsi="Cambria Math" w:cs="Cambria Math"/>
                      <w:b/>
                    </w:rPr>
                    <w:t>𝞵</w:t>
                  </w:r>
                  <w:r>
                    <w:rPr>
                      <w:rFonts w:ascii="Arial" w:eastAsia="Arial" w:hAnsi="Arial" w:cs="Arial"/>
                      <w:b/>
                    </w:rPr>
                    <w:t xml:space="preserve">L </w:t>
                  </w:r>
                </w:p>
              </w:tc>
              <w:tc>
                <w:tcPr>
                  <w:tcW w:w="1418" w:type="dxa"/>
                  <w:shd w:val="clear" w:color="auto" w:fill="auto"/>
                  <w:tcMar>
                    <w:top w:w="100" w:type="dxa"/>
                    <w:left w:w="100" w:type="dxa"/>
                    <w:bottom w:w="100" w:type="dxa"/>
                    <w:right w:w="100" w:type="dxa"/>
                  </w:tcMar>
                </w:tcPr>
                <w:p w14:paraId="08CAC765" w14:textId="77777777" w:rsidR="00814DF0" w:rsidRDefault="003E40A1">
                  <w:pPr>
                    <w:widowControl w:val="0"/>
                    <w:jc w:val="center"/>
                    <w:rPr>
                      <w:rFonts w:ascii="Arial" w:eastAsia="Arial" w:hAnsi="Arial" w:cs="Arial"/>
                      <w:b/>
                    </w:rPr>
                  </w:pPr>
                  <w:r>
                    <w:rPr>
                      <w:rFonts w:ascii="Arial" w:eastAsia="Arial" w:hAnsi="Arial" w:cs="Arial"/>
                      <w:b/>
                    </w:rPr>
                    <w:t xml:space="preserve">100 </w:t>
                  </w:r>
                  <w:r>
                    <w:rPr>
                      <w:rFonts w:ascii="Cambria Math" w:eastAsia="Cambria Math" w:hAnsi="Cambria Math" w:cs="Cambria Math"/>
                      <w:b/>
                    </w:rPr>
                    <w:t>𝞵</w:t>
                  </w:r>
                  <w:r>
                    <w:rPr>
                      <w:rFonts w:ascii="Arial" w:eastAsia="Arial" w:hAnsi="Arial" w:cs="Arial"/>
                      <w:b/>
                    </w:rPr>
                    <w:t xml:space="preserve">L </w:t>
                  </w:r>
                </w:p>
              </w:tc>
            </w:tr>
            <w:tr w:rsidR="00814DF0" w14:paraId="76BA5F1C" w14:textId="77777777">
              <w:tc>
                <w:tcPr>
                  <w:tcW w:w="1591" w:type="dxa"/>
                  <w:shd w:val="clear" w:color="auto" w:fill="auto"/>
                  <w:tcMar>
                    <w:top w:w="100" w:type="dxa"/>
                    <w:left w:w="100" w:type="dxa"/>
                    <w:bottom w:w="100" w:type="dxa"/>
                    <w:right w:w="100" w:type="dxa"/>
                  </w:tcMar>
                </w:tcPr>
                <w:p w14:paraId="29D34EC7" w14:textId="77777777" w:rsidR="00814DF0" w:rsidRDefault="003E40A1">
                  <w:pPr>
                    <w:widowControl w:val="0"/>
                    <w:pBdr>
                      <w:top w:val="nil"/>
                      <w:left w:val="nil"/>
                      <w:bottom w:val="nil"/>
                      <w:right w:val="nil"/>
                      <w:between w:val="nil"/>
                    </w:pBdr>
                    <w:rPr>
                      <w:rFonts w:ascii="Arial" w:eastAsia="Arial" w:hAnsi="Arial" w:cs="Arial"/>
                    </w:rPr>
                  </w:pPr>
                  <w:r>
                    <w:rPr>
                      <w:rFonts w:ascii="Arial" w:eastAsia="Arial" w:hAnsi="Arial" w:cs="Arial"/>
                    </w:rPr>
                    <w:t>PW6-old (1)</w:t>
                  </w:r>
                </w:p>
              </w:tc>
              <w:tc>
                <w:tcPr>
                  <w:tcW w:w="1411" w:type="dxa"/>
                  <w:shd w:val="clear" w:color="auto" w:fill="auto"/>
                  <w:tcMar>
                    <w:top w:w="100" w:type="dxa"/>
                    <w:left w:w="100" w:type="dxa"/>
                    <w:bottom w:w="100" w:type="dxa"/>
                    <w:right w:w="100" w:type="dxa"/>
                  </w:tcMar>
                </w:tcPr>
                <w:p w14:paraId="2A8202E2"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58B562BB"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199767A"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762F84B"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ADC2425"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A63838C"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B953A45" w14:textId="77777777">
              <w:tc>
                <w:tcPr>
                  <w:tcW w:w="1591" w:type="dxa"/>
                  <w:shd w:val="clear" w:color="auto" w:fill="auto"/>
                  <w:tcMar>
                    <w:top w:w="100" w:type="dxa"/>
                    <w:left w:w="100" w:type="dxa"/>
                    <w:bottom w:w="100" w:type="dxa"/>
                    <w:right w:w="100" w:type="dxa"/>
                  </w:tcMar>
                </w:tcPr>
                <w:p w14:paraId="66DF996D" w14:textId="77777777" w:rsidR="00814DF0" w:rsidRDefault="003E40A1">
                  <w:pPr>
                    <w:widowControl w:val="0"/>
                    <w:pBdr>
                      <w:top w:val="nil"/>
                      <w:left w:val="nil"/>
                      <w:bottom w:val="nil"/>
                      <w:right w:val="nil"/>
                      <w:between w:val="nil"/>
                    </w:pBdr>
                    <w:rPr>
                      <w:rFonts w:ascii="Arial" w:eastAsia="Arial" w:hAnsi="Arial" w:cs="Arial"/>
                    </w:rPr>
                  </w:pPr>
                  <w:r>
                    <w:rPr>
                      <w:rFonts w:ascii="Arial" w:eastAsia="Arial" w:hAnsi="Arial" w:cs="Arial"/>
                    </w:rPr>
                    <w:t>PW6-old (2)</w:t>
                  </w:r>
                </w:p>
              </w:tc>
              <w:tc>
                <w:tcPr>
                  <w:tcW w:w="1411" w:type="dxa"/>
                  <w:shd w:val="clear" w:color="auto" w:fill="auto"/>
                  <w:tcMar>
                    <w:top w:w="100" w:type="dxa"/>
                    <w:left w:w="100" w:type="dxa"/>
                    <w:bottom w:w="100" w:type="dxa"/>
                    <w:right w:w="100" w:type="dxa"/>
                  </w:tcMar>
                </w:tcPr>
                <w:p w14:paraId="2B0DC5F0" w14:textId="77777777" w:rsidR="00814DF0" w:rsidRDefault="003E40A1">
                  <w:pPr>
                    <w:widowControl w:val="0"/>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4A6F4BC6"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ABABEA0"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92FD5D7"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B2B9185"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17A4AD1"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3D3B6DAE" w14:textId="77777777">
              <w:tc>
                <w:tcPr>
                  <w:tcW w:w="1591" w:type="dxa"/>
                  <w:shd w:val="clear" w:color="auto" w:fill="auto"/>
                  <w:tcMar>
                    <w:top w:w="100" w:type="dxa"/>
                    <w:left w:w="100" w:type="dxa"/>
                    <w:bottom w:w="100" w:type="dxa"/>
                    <w:right w:w="100" w:type="dxa"/>
                  </w:tcMar>
                </w:tcPr>
                <w:p w14:paraId="26E95D22" w14:textId="77777777" w:rsidR="00814DF0" w:rsidRDefault="003E40A1">
                  <w:pPr>
                    <w:widowControl w:val="0"/>
                    <w:pBdr>
                      <w:top w:val="nil"/>
                      <w:left w:val="nil"/>
                      <w:bottom w:val="nil"/>
                      <w:right w:val="nil"/>
                      <w:between w:val="nil"/>
                    </w:pBdr>
                    <w:rPr>
                      <w:rFonts w:ascii="Arial" w:eastAsia="Arial" w:hAnsi="Arial" w:cs="Arial"/>
                    </w:rPr>
                  </w:pPr>
                  <w:r>
                    <w:rPr>
                      <w:rFonts w:ascii="Arial" w:eastAsia="Arial" w:hAnsi="Arial" w:cs="Arial"/>
                    </w:rPr>
                    <w:t>PW5-new (1)</w:t>
                  </w:r>
                </w:p>
              </w:tc>
              <w:tc>
                <w:tcPr>
                  <w:tcW w:w="1411" w:type="dxa"/>
                  <w:shd w:val="clear" w:color="auto" w:fill="auto"/>
                  <w:tcMar>
                    <w:top w:w="100" w:type="dxa"/>
                    <w:left w:w="100" w:type="dxa"/>
                    <w:bottom w:w="100" w:type="dxa"/>
                    <w:right w:w="100" w:type="dxa"/>
                  </w:tcMar>
                </w:tcPr>
                <w:p w14:paraId="61A6A2C3" w14:textId="77777777" w:rsidR="00814DF0" w:rsidRDefault="003E40A1">
                  <w:pPr>
                    <w:widowControl w:val="0"/>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50BF02A2"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AD4DAFD"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2E2097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491966A"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04409DF"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202E68D2" w14:textId="77777777">
              <w:tc>
                <w:tcPr>
                  <w:tcW w:w="1591" w:type="dxa"/>
                  <w:shd w:val="clear" w:color="auto" w:fill="auto"/>
                  <w:tcMar>
                    <w:top w:w="100" w:type="dxa"/>
                    <w:left w:w="100" w:type="dxa"/>
                    <w:bottom w:w="100" w:type="dxa"/>
                    <w:right w:w="100" w:type="dxa"/>
                  </w:tcMar>
                </w:tcPr>
                <w:p w14:paraId="2BEB727F" w14:textId="77777777" w:rsidR="00814DF0" w:rsidRDefault="003E40A1">
                  <w:pPr>
                    <w:widowControl w:val="0"/>
                    <w:rPr>
                      <w:rFonts w:ascii="Arial" w:eastAsia="Arial" w:hAnsi="Arial" w:cs="Arial"/>
                    </w:rPr>
                  </w:pPr>
                  <w:r>
                    <w:rPr>
                      <w:rFonts w:ascii="Arial" w:eastAsia="Arial" w:hAnsi="Arial" w:cs="Arial"/>
                    </w:rPr>
                    <w:t>PW5-new (2)</w:t>
                  </w:r>
                </w:p>
              </w:tc>
              <w:tc>
                <w:tcPr>
                  <w:tcW w:w="1411" w:type="dxa"/>
                  <w:shd w:val="clear" w:color="auto" w:fill="auto"/>
                  <w:tcMar>
                    <w:top w:w="100" w:type="dxa"/>
                    <w:left w:w="100" w:type="dxa"/>
                    <w:bottom w:w="100" w:type="dxa"/>
                    <w:right w:w="100" w:type="dxa"/>
                  </w:tcMar>
                </w:tcPr>
                <w:p w14:paraId="02943427"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0AA1709F" w14:textId="77777777" w:rsidR="00814DF0" w:rsidRDefault="003E40A1">
                  <w:pPr>
                    <w:widowControl w:val="0"/>
                    <w:jc w:val="center"/>
                    <w:rPr>
                      <w:rFonts w:ascii="Arial" w:eastAsia="Arial" w:hAnsi="Arial" w:cs="Arial"/>
                    </w:rPr>
                  </w:pPr>
                  <w:r>
                    <w:rPr>
                      <w:rFonts w:ascii="Arial" w:eastAsia="Arial" w:hAnsi="Arial" w:cs="Arial"/>
                    </w:rPr>
                    <w:t xml:space="preserve"> None</w:t>
                  </w:r>
                </w:p>
              </w:tc>
              <w:tc>
                <w:tcPr>
                  <w:tcW w:w="1418" w:type="dxa"/>
                  <w:shd w:val="clear" w:color="auto" w:fill="auto"/>
                  <w:tcMar>
                    <w:top w:w="100" w:type="dxa"/>
                    <w:left w:w="100" w:type="dxa"/>
                    <w:bottom w:w="100" w:type="dxa"/>
                    <w:right w:w="100" w:type="dxa"/>
                  </w:tcMar>
                </w:tcPr>
                <w:p w14:paraId="6E6A3CE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CB07DF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9DE80D2"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0800C266"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2225CAF4" w14:textId="77777777">
              <w:tc>
                <w:tcPr>
                  <w:tcW w:w="1591" w:type="dxa"/>
                  <w:shd w:val="clear" w:color="auto" w:fill="auto"/>
                  <w:tcMar>
                    <w:top w:w="100" w:type="dxa"/>
                    <w:left w:w="100" w:type="dxa"/>
                    <w:bottom w:w="100" w:type="dxa"/>
                    <w:right w:w="100" w:type="dxa"/>
                  </w:tcMar>
                </w:tcPr>
                <w:p w14:paraId="2F7808BF" w14:textId="77777777" w:rsidR="00814DF0" w:rsidRDefault="003E40A1">
                  <w:pPr>
                    <w:widowControl w:val="0"/>
                    <w:rPr>
                      <w:rFonts w:ascii="Arial" w:eastAsia="Arial" w:hAnsi="Arial" w:cs="Arial"/>
                    </w:rPr>
                  </w:pPr>
                  <w:r>
                    <w:rPr>
                      <w:rFonts w:ascii="Arial" w:eastAsia="Arial" w:hAnsi="Arial" w:cs="Arial"/>
                    </w:rPr>
                    <w:t>PW5-old (1)</w:t>
                  </w:r>
                </w:p>
              </w:tc>
              <w:tc>
                <w:tcPr>
                  <w:tcW w:w="1411" w:type="dxa"/>
                  <w:shd w:val="clear" w:color="auto" w:fill="auto"/>
                  <w:tcMar>
                    <w:top w:w="100" w:type="dxa"/>
                    <w:left w:w="100" w:type="dxa"/>
                    <w:bottom w:w="100" w:type="dxa"/>
                    <w:right w:w="100" w:type="dxa"/>
                  </w:tcMar>
                </w:tcPr>
                <w:p w14:paraId="2AF453AA"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7A3A7726"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FF9D73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EC1BD09"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097DBF4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81F41A3"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67DEB4D8" w14:textId="77777777">
              <w:tc>
                <w:tcPr>
                  <w:tcW w:w="1591" w:type="dxa"/>
                  <w:shd w:val="clear" w:color="auto" w:fill="auto"/>
                  <w:tcMar>
                    <w:top w:w="100" w:type="dxa"/>
                    <w:left w:w="100" w:type="dxa"/>
                    <w:bottom w:w="100" w:type="dxa"/>
                    <w:right w:w="100" w:type="dxa"/>
                  </w:tcMar>
                </w:tcPr>
                <w:p w14:paraId="1EE7CA16" w14:textId="77777777" w:rsidR="00814DF0" w:rsidRDefault="003E40A1">
                  <w:pPr>
                    <w:widowControl w:val="0"/>
                    <w:rPr>
                      <w:rFonts w:ascii="Arial" w:eastAsia="Arial" w:hAnsi="Arial" w:cs="Arial"/>
                    </w:rPr>
                  </w:pPr>
                  <w:r>
                    <w:rPr>
                      <w:rFonts w:ascii="Arial" w:eastAsia="Arial" w:hAnsi="Arial" w:cs="Arial"/>
                    </w:rPr>
                    <w:t>PW5-old (2)</w:t>
                  </w:r>
                </w:p>
              </w:tc>
              <w:tc>
                <w:tcPr>
                  <w:tcW w:w="1411" w:type="dxa"/>
                  <w:shd w:val="clear" w:color="auto" w:fill="auto"/>
                  <w:tcMar>
                    <w:top w:w="100" w:type="dxa"/>
                    <w:left w:w="100" w:type="dxa"/>
                    <w:bottom w:w="100" w:type="dxa"/>
                    <w:right w:w="100" w:type="dxa"/>
                  </w:tcMar>
                </w:tcPr>
                <w:p w14:paraId="3D40607F"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69C2ABF2"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C4B4B83"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F9CD04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DF039F1"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3EBCB2F"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CFBD7A2" w14:textId="77777777">
              <w:tc>
                <w:tcPr>
                  <w:tcW w:w="1591" w:type="dxa"/>
                  <w:shd w:val="clear" w:color="auto" w:fill="auto"/>
                  <w:tcMar>
                    <w:top w:w="100" w:type="dxa"/>
                    <w:left w:w="100" w:type="dxa"/>
                    <w:bottom w:w="100" w:type="dxa"/>
                    <w:right w:w="100" w:type="dxa"/>
                  </w:tcMar>
                </w:tcPr>
                <w:p w14:paraId="65CCBC73" w14:textId="77777777" w:rsidR="00814DF0" w:rsidRDefault="003E40A1">
                  <w:pPr>
                    <w:widowControl w:val="0"/>
                    <w:rPr>
                      <w:rFonts w:ascii="Arial" w:eastAsia="Arial" w:hAnsi="Arial" w:cs="Arial"/>
                    </w:rPr>
                  </w:pPr>
                  <w:r>
                    <w:rPr>
                      <w:rFonts w:ascii="Arial" w:eastAsia="Arial" w:hAnsi="Arial" w:cs="Arial"/>
                    </w:rPr>
                    <w:t>LY -new (1)</w:t>
                  </w:r>
                </w:p>
              </w:tc>
              <w:tc>
                <w:tcPr>
                  <w:tcW w:w="1411" w:type="dxa"/>
                  <w:shd w:val="clear" w:color="auto" w:fill="auto"/>
                  <w:tcMar>
                    <w:top w:w="100" w:type="dxa"/>
                    <w:left w:w="100" w:type="dxa"/>
                    <w:bottom w:w="100" w:type="dxa"/>
                    <w:right w:w="100" w:type="dxa"/>
                  </w:tcMar>
                </w:tcPr>
                <w:p w14:paraId="7A667CE3"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48D20CF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D496848"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4325D3C"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B2FA0C9"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D381EA1"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6507A576" w14:textId="77777777">
              <w:trPr>
                <w:trHeight w:val="420"/>
              </w:trPr>
              <w:tc>
                <w:tcPr>
                  <w:tcW w:w="1591" w:type="dxa"/>
                  <w:shd w:val="clear" w:color="auto" w:fill="auto"/>
                  <w:tcMar>
                    <w:top w:w="100" w:type="dxa"/>
                    <w:left w:w="100" w:type="dxa"/>
                    <w:bottom w:w="100" w:type="dxa"/>
                    <w:right w:w="100" w:type="dxa"/>
                  </w:tcMar>
                </w:tcPr>
                <w:p w14:paraId="648C5730" w14:textId="77777777" w:rsidR="00814DF0" w:rsidRDefault="003E40A1">
                  <w:pPr>
                    <w:widowControl w:val="0"/>
                    <w:rPr>
                      <w:rFonts w:ascii="Arial" w:eastAsia="Arial" w:hAnsi="Arial" w:cs="Arial"/>
                    </w:rPr>
                  </w:pPr>
                  <w:r>
                    <w:rPr>
                      <w:rFonts w:ascii="Arial" w:eastAsia="Arial" w:hAnsi="Arial" w:cs="Arial"/>
                    </w:rPr>
                    <w:t>LY-new (2)</w:t>
                  </w:r>
                </w:p>
              </w:tc>
              <w:tc>
                <w:tcPr>
                  <w:tcW w:w="8269" w:type="dxa"/>
                  <w:gridSpan w:val="6"/>
                  <w:shd w:val="clear" w:color="auto" w:fill="auto"/>
                  <w:tcMar>
                    <w:top w:w="100" w:type="dxa"/>
                    <w:left w:w="100" w:type="dxa"/>
                    <w:bottom w:w="100" w:type="dxa"/>
                    <w:right w:w="100" w:type="dxa"/>
                  </w:tcMar>
                </w:tcPr>
                <w:p w14:paraId="76F9B7A8" w14:textId="77777777" w:rsidR="00814DF0" w:rsidRDefault="003E40A1">
                  <w:pPr>
                    <w:widowControl w:val="0"/>
                    <w:jc w:val="center"/>
                    <w:rPr>
                      <w:rFonts w:ascii="Arial" w:eastAsia="Arial" w:hAnsi="Arial" w:cs="Arial"/>
                      <w:i/>
                    </w:rPr>
                  </w:pPr>
                  <w:r>
                    <w:rPr>
                      <w:rFonts w:ascii="Arial" w:eastAsia="Arial" w:hAnsi="Arial" w:cs="Arial"/>
                    </w:rPr>
                    <w:t xml:space="preserve">This plate did not work -no growth of </w:t>
                  </w:r>
                  <w:r>
                    <w:rPr>
                      <w:rFonts w:ascii="Arial" w:eastAsia="Arial" w:hAnsi="Arial" w:cs="Arial"/>
                      <w:i/>
                    </w:rPr>
                    <w:t xml:space="preserve">V. </w:t>
                  </w:r>
                  <w:proofErr w:type="spellStart"/>
                  <w:r>
                    <w:rPr>
                      <w:rFonts w:ascii="Arial" w:eastAsia="Arial" w:hAnsi="Arial" w:cs="Arial"/>
                      <w:i/>
                    </w:rPr>
                    <w:t>parahaemolyticus</w:t>
                  </w:r>
                  <w:proofErr w:type="spellEnd"/>
                </w:p>
              </w:tc>
            </w:tr>
            <w:tr w:rsidR="00814DF0" w14:paraId="5028DB4C" w14:textId="77777777">
              <w:tc>
                <w:tcPr>
                  <w:tcW w:w="1591" w:type="dxa"/>
                  <w:shd w:val="clear" w:color="auto" w:fill="auto"/>
                  <w:tcMar>
                    <w:top w:w="100" w:type="dxa"/>
                    <w:left w:w="100" w:type="dxa"/>
                    <w:bottom w:w="100" w:type="dxa"/>
                    <w:right w:w="100" w:type="dxa"/>
                  </w:tcMar>
                </w:tcPr>
                <w:p w14:paraId="71637C67" w14:textId="77777777" w:rsidR="00814DF0" w:rsidRDefault="003E40A1">
                  <w:pPr>
                    <w:widowControl w:val="0"/>
                    <w:rPr>
                      <w:rFonts w:ascii="Arial" w:eastAsia="Arial" w:hAnsi="Arial" w:cs="Arial"/>
                    </w:rPr>
                  </w:pPr>
                  <w:r>
                    <w:rPr>
                      <w:rFonts w:ascii="Arial" w:eastAsia="Arial" w:hAnsi="Arial" w:cs="Arial"/>
                    </w:rPr>
                    <w:t>LY -old (1)</w:t>
                  </w:r>
                </w:p>
              </w:tc>
              <w:tc>
                <w:tcPr>
                  <w:tcW w:w="1411" w:type="dxa"/>
                  <w:shd w:val="clear" w:color="auto" w:fill="auto"/>
                  <w:tcMar>
                    <w:top w:w="100" w:type="dxa"/>
                    <w:left w:w="100" w:type="dxa"/>
                    <w:bottom w:w="100" w:type="dxa"/>
                    <w:right w:w="100" w:type="dxa"/>
                  </w:tcMar>
                </w:tcPr>
                <w:p w14:paraId="10A861C6"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26BBA13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07240B2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0CCD9B89"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6D4969C"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4A2AF38"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0B8A29B1" w14:textId="77777777">
              <w:tc>
                <w:tcPr>
                  <w:tcW w:w="1591" w:type="dxa"/>
                  <w:shd w:val="clear" w:color="auto" w:fill="auto"/>
                  <w:tcMar>
                    <w:top w:w="100" w:type="dxa"/>
                    <w:left w:w="100" w:type="dxa"/>
                    <w:bottom w:w="100" w:type="dxa"/>
                    <w:right w:w="100" w:type="dxa"/>
                  </w:tcMar>
                </w:tcPr>
                <w:p w14:paraId="4A71D849" w14:textId="77777777" w:rsidR="00814DF0" w:rsidRDefault="003E40A1">
                  <w:pPr>
                    <w:widowControl w:val="0"/>
                    <w:rPr>
                      <w:rFonts w:ascii="Arial" w:eastAsia="Arial" w:hAnsi="Arial" w:cs="Arial"/>
                    </w:rPr>
                  </w:pPr>
                  <w:r>
                    <w:rPr>
                      <w:rFonts w:ascii="Arial" w:eastAsia="Arial" w:hAnsi="Arial" w:cs="Arial"/>
                    </w:rPr>
                    <w:t>LY -old (2)</w:t>
                  </w:r>
                </w:p>
              </w:tc>
              <w:tc>
                <w:tcPr>
                  <w:tcW w:w="1411" w:type="dxa"/>
                  <w:shd w:val="clear" w:color="auto" w:fill="auto"/>
                  <w:tcMar>
                    <w:top w:w="100" w:type="dxa"/>
                    <w:left w:w="100" w:type="dxa"/>
                    <w:bottom w:w="100" w:type="dxa"/>
                    <w:right w:w="100" w:type="dxa"/>
                  </w:tcMar>
                </w:tcPr>
                <w:p w14:paraId="0C835505"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24</w:t>
                  </w:r>
                </w:p>
              </w:tc>
              <w:tc>
                <w:tcPr>
                  <w:tcW w:w="1186" w:type="dxa"/>
                  <w:shd w:val="clear" w:color="auto" w:fill="auto"/>
                  <w:tcMar>
                    <w:top w:w="100" w:type="dxa"/>
                    <w:left w:w="100" w:type="dxa"/>
                    <w:bottom w:w="100" w:type="dxa"/>
                    <w:right w:w="100" w:type="dxa"/>
                  </w:tcMar>
                </w:tcPr>
                <w:p w14:paraId="256154E5"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20291E3"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7A369E2"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321FAB0"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99B07E2"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419C6B5D" w14:textId="77777777">
              <w:tc>
                <w:tcPr>
                  <w:tcW w:w="1591" w:type="dxa"/>
                  <w:shd w:val="clear" w:color="auto" w:fill="auto"/>
                  <w:tcMar>
                    <w:top w:w="100" w:type="dxa"/>
                    <w:left w:w="100" w:type="dxa"/>
                    <w:bottom w:w="100" w:type="dxa"/>
                    <w:right w:w="100" w:type="dxa"/>
                  </w:tcMar>
                </w:tcPr>
                <w:p w14:paraId="4E6E34CE" w14:textId="77777777" w:rsidR="00814DF0" w:rsidRDefault="003E40A1">
                  <w:pPr>
                    <w:widowControl w:val="0"/>
                    <w:rPr>
                      <w:rFonts w:ascii="Arial" w:eastAsia="Arial" w:hAnsi="Arial" w:cs="Arial"/>
                    </w:rPr>
                  </w:pPr>
                  <w:r>
                    <w:rPr>
                      <w:rFonts w:ascii="Arial" w:eastAsia="Arial" w:hAnsi="Arial" w:cs="Arial"/>
                    </w:rPr>
                    <w:t>MY1- new (1)</w:t>
                  </w:r>
                </w:p>
              </w:tc>
              <w:tc>
                <w:tcPr>
                  <w:tcW w:w="1411" w:type="dxa"/>
                  <w:shd w:val="clear" w:color="auto" w:fill="auto"/>
                  <w:tcMar>
                    <w:top w:w="100" w:type="dxa"/>
                    <w:left w:w="100" w:type="dxa"/>
                    <w:bottom w:w="100" w:type="dxa"/>
                    <w:right w:w="100" w:type="dxa"/>
                  </w:tcMar>
                </w:tcPr>
                <w:p w14:paraId="74ECA3F1"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355A3DFA"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208692C"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7B7B68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DE1D79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C19B75E"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A750286" w14:textId="77777777">
              <w:tc>
                <w:tcPr>
                  <w:tcW w:w="1591" w:type="dxa"/>
                  <w:shd w:val="clear" w:color="auto" w:fill="auto"/>
                  <w:tcMar>
                    <w:top w:w="100" w:type="dxa"/>
                    <w:left w:w="100" w:type="dxa"/>
                    <w:bottom w:w="100" w:type="dxa"/>
                    <w:right w:w="100" w:type="dxa"/>
                  </w:tcMar>
                </w:tcPr>
                <w:p w14:paraId="28CF9CF0" w14:textId="77777777" w:rsidR="00814DF0" w:rsidRDefault="003E40A1">
                  <w:pPr>
                    <w:widowControl w:val="0"/>
                    <w:rPr>
                      <w:rFonts w:ascii="Arial" w:eastAsia="Arial" w:hAnsi="Arial" w:cs="Arial"/>
                    </w:rPr>
                  </w:pPr>
                  <w:r>
                    <w:rPr>
                      <w:rFonts w:ascii="Arial" w:eastAsia="Arial" w:hAnsi="Arial" w:cs="Arial"/>
                    </w:rPr>
                    <w:t>MY1- new (2)</w:t>
                  </w:r>
                </w:p>
              </w:tc>
              <w:tc>
                <w:tcPr>
                  <w:tcW w:w="1411" w:type="dxa"/>
                  <w:shd w:val="clear" w:color="auto" w:fill="auto"/>
                  <w:tcMar>
                    <w:top w:w="100" w:type="dxa"/>
                    <w:left w:w="100" w:type="dxa"/>
                    <w:bottom w:w="100" w:type="dxa"/>
                    <w:right w:w="100" w:type="dxa"/>
                  </w:tcMar>
                </w:tcPr>
                <w:p w14:paraId="3FC467F9"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6CD58B8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757A718"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8B21BC2"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3DFCBBA"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B9767C6"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DB52976" w14:textId="77777777">
              <w:tc>
                <w:tcPr>
                  <w:tcW w:w="1591" w:type="dxa"/>
                  <w:shd w:val="clear" w:color="auto" w:fill="auto"/>
                  <w:tcMar>
                    <w:top w:w="100" w:type="dxa"/>
                    <w:left w:w="100" w:type="dxa"/>
                    <w:bottom w:w="100" w:type="dxa"/>
                    <w:right w:w="100" w:type="dxa"/>
                  </w:tcMar>
                </w:tcPr>
                <w:p w14:paraId="75EEC896" w14:textId="77777777" w:rsidR="00814DF0" w:rsidRDefault="003E40A1">
                  <w:pPr>
                    <w:widowControl w:val="0"/>
                    <w:rPr>
                      <w:rFonts w:ascii="Arial" w:eastAsia="Arial" w:hAnsi="Arial" w:cs="Arial"/>
                    </w:rPr>
                  </w:pPr>
                  <w:r>
                    <w:rPr>
                      <w:rFonts w:ascii="Arial" w:eastAsia="Arial" w:hAnsi="Arial" w:cs="Arial"/>
                    </w:rPr>
                    <w:t>MY1- old (1)</w:t>
                  </w:r>
                </w:p>
              </w:tc>
              <w:tc>
                <w:tcPr>
                  <w:tcW w:w="1411" w:type="dxa"/>
                  <w:shd w:val="clear" w:color="auto" w:fill="auto"/>
                  <w:tcMar>
                    <w:top w:w="100" w:type="dxa"/>
                    <w:left w:w="100" w:type="dxa"/>
                    <w:bottom w:w="100" w:type="dxa"/>
                    <w:right w:w="100" w:type="dxa"/>
                  </w:tcMar>
                </w:tcPr>
                <w:p w14:paraId="649210B6"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5297F773"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AFCCEB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F94324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35AA7AA"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7DEE99E"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0B86C5A" w14:textId="77777777">
              <w:tc>
                <w:tcPr>
                  <w:tcW w:w="1591" w:type="dxa"/>
                  <w:shd w:val="clear" w:color="auto" w:fill="auto"/>
                  <w:tcMar>
                    <w:top w:w="100" w:type="dxa"/>
                    <w:left w:w="100" w:type="dxa"/>
                    <w:bottom w:w="100" w:type="dxa"/>
                    <w:right w:w="100" w:type="dxa"/>
                  </w:tcMar>
                </w:tcPr>
                <w:p w14:paraId="2A04969E" w14:textId="77777777" w:rsidR="00814DF0" w:rsidRDefault="003E40A1">
                  <w:pPr>
                    <w:widowControl w:val="0"/>
                    <w:rPr>
                      <w:rFonts w:ascii="Arial" w:eastAsia="Arial" w:hAnsi="Arial" w:cs="Arial"/>
                    </w:rPr>
                  </w:pPr>
                  <w:r>
                    <w:rPr>
                      <w:rFonts w:ascii="Arial" w:eastAsia="Arial" w:hAnsi="Arial" w:cs="Arial"/>
                    </w:rPr>
                    <w:t>MY1- old (2)</w:t>
                  </w:r>
                </w:p>
              </w:tc>
              <w:tc>
                <w:tcPr>
                  <w:tcW w:w="1411" w:type="dxa"/>
                  <w:shd w:val="clear" w:color="auto" w:fill="auto"/>
                  <w:tcMar>
                    <w:top w:w="100" w:type="dxa"/>
                    <w:left w:w="100" w:type="dxa"/>
                    <w:bottom w:w="100" w:type="dxa"/>
                    <w:right w:w="100" w:type="dxa"/>
                  </w:tcMar>
                </w:tcPr>
                <w:p w14:paraId="0D1303E4"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25</w:t>
                  </w:r>
                </w:p>
              </w:tc>
              <w:tc>
                <w:tcPr>
                  <w:tcW w:w="1186" w:type="dxa"/>
                  <w:shd w:val="clear" w:color="auto" w:fill="auto"/>
                  <w:tcMar>
                    <w:top w:w="100" w:type="dxa"/>
                    <w:left w:w="100" w:type="dxa"/>
                    <w:bottom w:w="100" w:type="dxa"/>
                    <w:right w:w="100" w:type="dxa"/>
                  </w:tcMar>
                </w:tcPr>
                <w:p w14:paraId="2D890929"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D3140BC"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58D5A2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AC7FC01"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51BA5E7"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23D52FF2" w14:textId="77777777">
              <w:tc>
                <w:tcPr>
                  <w:tcW w:w="1591" w:type="dxa"/>
                  <w:shd w:val="clear" w:color="auto" w:fill="auto"/>
                  <w:tcMar>
                    <w:top w:w="100" w:type="dxa"/>
                    <w:left w:w="100" w:type="dxa"/>
                    <w:bottom w:w="100" w:type="dxa"/>
                    <w:right w:w="100" w:type="dxa"/>
                  </w:tcMar>
                </w:tcPr>
                <w:p w14:paraId="6E21A5F0" w14:textId="77777777" w:rsidR="00814DF0" w:rsidRDefault="003E40A1">
                  <w:pPr>
                    <w:widowControl w:val="0"/>
                    <w:rPr>
                      <w:rFonts w:ascii="Arial" w:eastAsia="Arial" w:hAnsi="Arial" w:cs="Arial"/>
                    </w:rPr>
                  </w:pPr>
                  <w:r>
                    <w:rPr>
                      <w:rFonts w:ascii="Arial" w:eastAsia="Arial" w:hAnsi="Arial" w:cs="Arial"/>
                    </w:rPr>
                    <w:t>B4- new (1)</w:t>
                  </w:r>
                </w:p>
              </w:tc>
              <w:tc>
                <w:tcPr>
                  <w:tcW w:w="1411" w:type="dxa"/>
                  <w:shd w:val="clear" w:color="auto" w:fill="auto"/>
                  <w:tcMar>
                    <w:top w:w="100" w:type="dxa"/>
                    <w:left w:w="100" w:type="dxa"/>
                    <w:bottom w:w="100" w:type="dxa"/>
                    <w:right w:w="100" w:type="dxa"/>
                  </w:tcMar>
                </w:tcPr>
                <w:p w14:paraId="1BE7E219"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29D9A0F1"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CFFF872"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2EAFE6A"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C2EE98C"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EC26CD0"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6F99A761" w14:textId="77777777">
              <w:tc>
                <w:tcPr>
                  <w:tcW w:w="1591" w:type="dxa"/>
                  <w:shd w:val="clear" w:color="auto" w:fill="auto"/>
                  <w:tcMar>
                    <w:top w:w="100" w:type="dxa"/>
                    <w:left w:w="100" w:type="dxa"/>
                    <w:bottom w:w="100" w:type="dxa"/>
                    <w:right w:w="100" w:type="dxa"/>
                  </w:tcMar>
                </w:tcPr>
                <w:p w14:paraId="449D1C39" w14:textId="77777777" w:rsidR="00814DF0" w:rsidRDefault="003E40A1">
                  <w:pPr>
                    <w:widowControl w:val="0"/>
                    <w:rPr>
                      <w:rFonts w:ascii="Arial" w:eastAsia="Arial" w:hAnsi="Arial" w:cs="Arial"/>
                    </w:rPr>
                  </w:pPr>
                  <w:r>
                    <w:rPr>
                      <w:rFonts w:ascii="Arial" w:eastAsia="Arial" w:hAnsi="Arial" w:cs="Arial"/>
                    </w:rPr>
                    <w:t>B4- new (2)</w:t>
                  </w:r>
                </w:p>
              </w:tc>
              <w:tc>
                <w:tcPr>
                  <w:tcW w:w="1411" w:type="dxa"/>
                  <w:shd w:val="clear" w:color="auto" w:fill="auto"/>
                  <w:tcMar>
                    <w:top w:w="100" w:type="dxa"/>
                    <w:left w:w="100" w:type="dxa"/>
                    <w:bottom w:w="100" w:type="dxa"/>
                    <w:right w:w="100" w:type="dxa"/>
                  </w:tcMar>
                </w:tcPr>
                <w:p w14:paraId="5A509138"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28</w:t>
                  </w:r>
                </w:p>
              </w:tc>
              <w:tc>
                <w:tcPr>
                  <w:tcW w:w="1186" w:type="dxa"/>
                  <w:shd w:val="clear" w:color="auto" w:fill="auto"/>
                  <w:tcMar>
                    <w:top w:w="100" w:type="dxa"/>
                    <w:left w:w="100" w:type="dxa"/>
                    <w:bottom w:w="100" w:type="dxa"/>
                    <w:right w:w="100" w:type="dxa"/>
                  </w:tcMar>
                </w:tcPr>
                <w:p w14:paraId="5FDFFB5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EBB1FD0"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BC04028"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96A3750"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AD8F0C5"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246FA41F" w14:textId="77777777">
              <w:tc>
                <w:tcPr>
                  <w:tcW w:w="1591" w:type="dxa"/>
                  <w:shd w:val="clear" w:color="auto" w:fill="auto"/>
                  <w:tcMar>
                    <w:top w:w="100" w:type="dxa"/>
                    <w:left w:w="100" w:type="dxa"/>
                    <w:bottom w:w="100" w:type="dxa"/>
                    <w:right w:w="100" w:type="dxa"/>
                  </w:tcMar>
                </w:tcPr>
                <w:p w14:paraId="74B73124" w14:textId="77777777" w:rsidR="00814DF0" w:rsidRDefault="003E40A1">
                  <w:pPr>
                    <w:widowControl w:val="0"/>
                    <w:rPr>
                      <w:rFonts w:ascii="Arial" w:eastAsia="Arial" w:hAnsi="Arial" w:cs="Arial"/>
                    </w:rPr>
                  </w:pPr>
                  <w:r>
                    <w:rPr>
                      <w:rFonts w:ascii="Arial" w:eastAsia="Arial" w:hAnsi="Arial" w:cs="Arial"/>
                    </w:rPr>
                    <w:t>B4- old (1)</w:t>
                  </w:r>
                </w:p>
              </w:tc>
              <w:tc>
                <w:tcPr>
                  <w:tcW w:w="1411" w:type="dxa"/>
                  <w:shd w:val="clear" w:color="auto" w:fill="auto"/>
                  <w:tcMar>
                    <w:top w:w="100" w:type="dxa"/>
                    <w:left w:w="100" w:type="dxa"/>
                    <w:bottom w:w="100" w:type="dxa"/>
                    <w:right w:w="100" w:type="dxa"/>
                  </w:tcMar>
                </w:tcPr>
                <w:p w14:paraId="32E52A7D"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29</w:t>
                  </w:r>
                </w:p>
              </w:tc>
              <w:tc>
                <w:tcPr>
                  <w:tcW w:w="1186" w:type="dxa"/>
                  <w:shd w:val="clear" w:color="auto" w:fill="auto"/>
                  <w:tcMar>
                    <w:top w:w="100" w:type="dxa"/>
                    <w:left w:w="100" w:type="dxa"/>
                    <w:bottom w:w="100" w:type="dxa"/>
                    <w:right w:w="100" w:type="dxa"/>
                  </w:tcMar>
                </w:tcPr>
                <w:p w14:paraId="1C9BD35B"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1080AA6"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C8D4BC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63A2254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E7E0AC2"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9AAABE6" w14:textId="77777777">
              <w:tc>
                <w:tcPr>
                  <w:tcW w:w="1591" w:type="dxa"/>
                  <w:shd w:val="clear" w:color="auto" w:fill="auto"/>
                  <w:tcMar>
                    <w:top w:w="100" w:type="dxa"/>
                    <w:left w:w="100" w:type="dxa"/>
                    <w:bottom w:w="100" w:type="dxa"/>
                    <w:right w:w="100" w:type="dxa"/>
                  </w:tcMar>
                </w:tcPr>
                <w:p w14:paraId="69F80576" w14:textId="77777777" w:rsidR="00814DF0" w:rsidRDefault="003E40A1">
                  <w:pPr>
                    <w:widowControl w:val="0"/>
                    <w:rPr>
                      <w:rFonts w:ascii="Arial" w:eastAsia="Arial" w:hAnsi="Arial" w:cs="Arial"/>
                    </w:rPr>
                  </w:pPr>
                  <w:r>
                    <w:rPr>
                      <w:rFonts w:ascii="Arial" w:eastAsia="Arial" w:hAnsi="Arial" w:cs="Arial"/>
                    </w:rPr>
                    <w:t>B4- old (2)</w:t>
                  </w:r>
                </w:p>
              </w:tc>
              <w:tc>
                <w:tcPr>
                  <w:tcW w:w="1411" w:type="dxa"/>
                  <w:shd w:val="clear" w:color="auto" w:fill="auto"/>
                  <w:tcMar>
                    <w:top w:w="100" w:type="dxa"/>
                    <w:left w:w="100" w:type="dxa"/>
                    <w:bottom w:w="100" w:type="dxa"/>
                    <w:right w:w="100" w:type="dxa"/>
                  </w:tcMar>
                </w:tcPr>
                <w:p w14:paraId="6AF675A7"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26</w:t>
                  </w:r>
                </w:p>
              </w:tc>
              <w:tc>
                <w:tcPr>
                  <w:tcW w:w="1186" w:type="dxa"/>
                  <w:shd w:val="clear" w:color="auto" w:fill="auto"/>
                  <w:tcMar>
                    <w:top w:w="100" w:type="dxa"/>
                    <w:left w:w="100" w:type="dxa"/>
                    <w:bottom w:w="100" w:type="dxa"/>
                    <w:right w:w="100" w:type="dxa"/>
                  </w:tcMar>
                </w:tcPr>
                <w:p w14:paraId="0C0C7631"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551EE647"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D751FA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14B94F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B9FB9E0"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146C77CA" w14:textId="77777777">
              <w:tc>
                <w:tcPr>
                  <w:tcW w:w="1591" w:type="dxa"/>
                  <w:shd w:val="clear" w:color="auto" w:fill="auto"/>
                  <w:tcMar>
                    <w:top w:w="100" w:type="dxa"/>
                    <w:left w:w="100" w:type="dxa"/>
                    <w:bottom w:w="100" w:type="dxa"/>
                    <w:right w:w="100" w:type="dxa"/>
                  </w:tcMar>
                </w:tcPr>
                <w:p w14:paraId="23919B7B" w14:textId="77777777" w:rsidR="00814DF0" w:rsidRDefault="003E40A1">
                  <w:pPr>
                    <w:widowControl w:val="0"/>
                    <w:rPr>
                      <w:rFonts w:ascii="Arial" w:eastAsia="Arial" w:hAnsi="Arial" w:cs="Arial"/>
                    </w:rPr>
                  </w:pPr>
                  <w:r>
                    <w:rPr>
                      <w:rFonts w:ascii="Arial" w:eastAsia="Arial" w:hAnsi="Arial" w:cs="Arial"/>
                    </w:rPr>
                    <w:t>NQ7- new (1)</w:t>
                  </w:r>
                </w:p>
              </w:tc>
              <w:tc>
                <w:tcPr>
                  <w:tcW w:w="1411" w:type="dxa"/>
                  <w:shd w:val="clear" w:color="auto" w:fill="auto"/>
                  <w:tcMar>
                    <w:top w:w="100" w:type="dxa"/>
                    <w:left w:w="100" w:type="dxa"/>
                    <w:bottom w:w="100" w:type="dxa"/>
                    <w:right w:w="100" w:type="dxa"/>
                  </w:tcMar>
                </w:tcPr>
                <w:p w14:paraId="24067A27"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28</w:t>
                  </w:r>
                </w:p>
              </w:tc>
              <w:tc>
                <w:tcPr>
                  <w:tcW w:w="1186" w:type="dxa"/>
                  <w:shd w:val="clear" w:color="auto" w:fill="auto"/>
                  <w:tcMar>
                    <w:top w:w="100" w:type="dxa"/>
                    <w:left w:w="100" w:type="dxa"/>
                    <w:bottom w:w="100" w:type="dxa"/>
                    <w:right w:w="100" w:type="dxa"/>
                  </w:tcMar>
                </w:tcPr>
                <w:p w14:paraId="2788F40D"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C074DF2" w14:textId="77777777" w:rsidR="00814DF0" w:rsidRDefault="003E40A1">
                  <w:pPr>
                    <w:widowControl w:val="0"/>
                    <w:jc w:val="center"/>
                    <w:rPr>
                      <w:rFonts w:ascii="Arial" w:eastAsia="Arial" w:hAnsi="Arial" w:cs="Arial"/>
                    </w:rPr>
                  </w:pPr>
                  <w:r>
                    <w:rPr>
                      <w:rFonts w:ascii="Arial" w:eastAsia="Arial" w:hAnsi="Arial" w:cs="Arial"/>
                    </w:rPr>
                    <w:t>*</w:t>
                  </w:r>
                </w:p>
              </w:tc>
              <w:tc>
                <w:tcPr>
                  <w:tcW w:w="1418" w:type="dxa"/>
                  <w:shd w:val="clear" w:color="auto" w:fill="auto"/>
                  <w:tcMar>
                    <w:top w:w="100" w:type="dxa"/>
                    <w:left w:w="100" w:type="dxa"/>
                    <w:bottom w:w="100" w:type="dxa"/>
                    <w:right w:w="100" w:type="dxa"/>
                  </w:tcMar>
                </w:tcPr>
                <w:p w14:paraId="4F4611BB"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E232473"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53A30BC"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311557FD" w14:textId="77777777">
              <w:tc>
                <w:tcPr>
                  <w:tcW w:w="1591" w:type="dxa"/>
                  <w:shd w:val="clear" w:color="auto" w:fill="auto"/>
                  <w:tcMar>
                    <w:top w:w="100" w:type="dxa"/>
                    <w:left w:w="100" w:type="dxa"/>
                    <w:bottom w:w="100" w:type="dxa"/>
                    <w:right w:w="100" w:type="dxa"/>
                  </w:tcMar>
                </w:tcPr>
                <w:p w14:paraId="203C2B8B" w14:textId="77777777" w:rsidR="00814DF0" w:rsidRDefault="003E40A1">
                  <w:pPr>
                    <w:widowControl w:val="0"/>
                    <w:rPr>
                      <w:rFonts w:ascii="Arial" w:eastAsia="Arial" w:hAnsi="Arial" w:cs="Arial"/>
                    </w:rPr>
                  </w:pPr>
                  <w:r>
                    <w:rPr>
                      <w:rFonts w:ascii="Arial" w:eastAsia="Arial" w:hAnsi="Arial" w:cs="Arial"/>
                    </w:rPr>
                    <w:t>NQ7- new (2)</w:t>
                  </w:r>
                </w:p>
              </w:tc>
              <w:tc>
                <w:tcPr>
                  <w:tcW w:w="1411" w:type="dxa"/>
                  <w:shd w:val="clear" w:color="auto" w:fill="auto"/>
                  <w:tcMar>
                    <w:top w:w="100" w:type="dxa"/>
                    <w:left w:w="100" w:type="dxa"/>
                    <w:bottom w:w="100" w:type="dxa"/>
                    <w:right w:w="100" w:type="dxa"/>
                  </w:tcMar>
                </w:tcPr>
                <w:p w14:paraId="3F5F3EF3"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28</w:t>
                  </w:r>
                </w:p>
              </w:tc>
              <w:tc>
                <w:tcPr>
                  <w:tcW w:w="1186" w:type="dxa"/>
                  <w:shd w:val="clear" w:color="auto" w:fill="auto"/>
                  <w:tcMar>
                    <w:top w:w="100" w:type="dxa"/>
                    <w:left w:w="100" w:type="dxa"/>
                    <w:bottom w:w="100" w:type="dxa"/>
                    <w:right w:w="100" w:type="dxa"/>
                  </w:tcMar>
                </w:tcPr>
                <w:p w14:paraId="43FEC6BF"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01B5864" w14:textId="77777777" w:rsidR="00814DF0" w:rsidRDefault="003E40A1">
                  <w:pPr>
                    <w:widowControl w:val="0"/>
                    <w:jc w:val="center"/>
                    <w:rPr>
                      <w:rFonts w:ascii="Arial" w:eastAsia="Arial" w:hAnsi="Arial" w:cs="Arial"/>
                    </w:rPr>
                  </w:pPr>
                  <w:r>
                    <w:rPr>
                      <w:rFonts w:ascii="Arial" w:eastAsia="Arial" w:hAnsi="Arial" w:cs="Arial"/>
                    </w:rPr>
                    <w:t>*</w:t>
                  </w:r>
                </w:p>
              </w:tc>
              <w:tc>
                <w:tcPr>
                  <w:tcW w:w="1418" w:type="dxa"/>
                  <w:shd w:val="clear" w:color="auto" w:fill="auto"/>
                  <w:tcMar>
                    <w:top w:w="100" w:type="dxa"/>
                    <w:left w:w="100" w:type="dxa"/>
                    <w:bottom w:w="100" w:type="dxa"/>
                    <w:right w:w="100" w:type="dxa"/>
                  </w:tcMar>
                </w:tcPr>
                <w:p w14:paraId="541AC759"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25E8510"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1F238796"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70E878D7" w14:textId="77777777">
              <w:tc>
                <w:tcPr>
                  <w:tcW w:w="1591" w:type="dxa"/>
                  <w:shd w:val="clear" w:color="auto" w:fill="auto"/>
                  <w:tcMar>
                    <w:top w:w="100" w:type="dxa"/>
                    <w:left w:w="100" w:type="dxa"/>
                    <w:bottom w:w="100" w:type="dxa"/>
                    <w:right w:w="100" w:type="dxa"/>
                  </w:tcMar>
                </w:tcPr>
                <w:p w14:paraId="1ADD5E3A" w14:textId="77777777" w:rsidR="00814DF0" w:rsidRDefault="003E40A1">
                  <w:pPr>
                    <w:widowControl w:val="0"/>
                    <w:rPr>
                      <w:rFonts w:ascii="Arial" w:eastAsia="Arial" w:hAnsi="Arial" w:cs="Arial"/>
                    </w:rPr>
                  </w:pPr>
                  <w:r>
                    <w:rPr>
                      <w:rFonts w:ascii="Arial" w:eastAsia="Arial" w:hAnsi="Arial" w:cs="Arial"/>
                    </w:rPr>
                    <w:t>NQ7- old (1)</w:t>
                  </w:r>
                </w:p>
              </w:tc>
              <w:tc>
                <w:tcPr>
                  <w:tcW w:w="1411" w:type="dxa"/>
                  <w:shd w:val="clear" w:color="auto" w:fill="auto"/>
                  <w:tcMar>
                    <w:top w:w="100" w:type="dxa"/>
                    <w:left w:w="100" w:type="dxa"/>
                    <w:bottom w:w="100" w:type="dxa"/>
                    <w:right w:w="100" w:type="dxa"/>
                  </w:tcMar>
                </w:tcPr>
                <w:p w14:paraId="39749E54"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27</w:t>
                  </w:r>
                </w:p>
              </w:tc>
              <w:tc>
                <w:tcPr>
                  <w:tcW w:w="1186" w:type="dxa"/>
                  <w:shd w:val="clear" w:color="auto" w:fill="auto"/>
                  <w:tcMar>
                    <w:top w:w="100" w:type="dxa"/>
                    <w:left w:w="100" w:type="dxa"/>
                    <w:bottom w:w="100" w:type="dxa"/>
                    <w:right w:w="100" w:type="dxa"/>
                  </w:tcMar>
                </w:tcPr>
                <w:p w14:paraId="49EACC64"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4FAFE3E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9C805DE"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995D868"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049C07EB" w14:textId="77777777" w:rsidR="00814DF0" w:rsidRDefault="003E40A1">
                  <w:pPr>
                    <w:widowControl w:val="0"/>
                    <w:jc w:val="center"/>
                    <w:rPr>
                      <w:rFonts w:ascii="Arial" w:eastAsia="Arial" w:hAnsi="Arial" w:cs="Arial"/>
                    </w:rPr>
                  </w:pPr>
                  <w:r>
                    <w:rPr>
                      <w:rFonts w:ascii="Arial" w:eastAsia="Arial" w:hAnsi="Arial" w:cs="Arial"/>
                    </w:rPr>
                    <w:t>None</w:t>
                  </w:r>
                </w:p>
              </w:tc>
            </w:tr>
            <w:tr w:rsidR="00814DF0" w14:paraId="1452D942" w14:textId="77777777">
              <w:tc>
                <w:tcPr>
                  <w:tcW w:w="1591" w:type="dxa"/>
                  <w:shd w:val="clear" w:color="auto" w:fill="auto"/>
                  <w:tcMar>
                    <w:top w:w="100" w:type="dxa"/>
                    <w:left w:w="100" w:type="dxa"/>
                    <w:bottom w:w="100" w:type="dxa"/>
                    <w:right w:w="100" w:type="dxa"/>
                  </w:tcMar>
                </w:tcPr>
                <w:p w14:paraId="2170D255" w14:textId="77777777" w:rsidR="00814DF0" w:rsidRDefault="003E40A1">
                  <w:pPr>
                    <w:widowControl w:val="0"/>
                    <w:rPr>
                      <w:rFonts w:ascii="Arial" w:eastAsia="Arial" w:hAnsi="Arial" w:cs="Arial"/>
                    </w:rPr>
                  </w:pPr>
                  <w:r>
                    <w:rPr>
                      <w:rFonts w:ascii="Arial" w:eastAsia="Arial" w:hAnsi="Arial" w:cs="Arial"/>
                    </w:rPr>
                    <w:t>NQ7- old (2)</w:t>
                  </w:r>
                </w:p>
              </w:tc>
              <w:tc>
                <w:tcPr>
                  <w:tcW w:w="1411" w:type="dxa"/>
                  <w:shd w:val="clear" w:color="auto" w:fill="auto"/>
                  <w:tcMar>
                    <w:top w:w="100" w:type="dxa"/>
                    <w:left w:w="100" w:type="dxa"/>
                    <w:bottom w:w="100" w:type="dxa"/>
                    <w:right w:w="100" w:type="dxa"/>
                  </w:tcMar>
                </w:tcPr>
                <w:p w14:paraId="0041D509" w14:textId="77777777" w:rsidR="00814DF0" w:rsidRDefault="003E40A1">
                  <w:pPr>
                    <w:widowControl w:val="0"/>
                    <w:pBdr>
                      <w:top w:val="nil"/>
                      <w:left w:val="nil"/>
                      <w:bottom w:val="nil"/>
                      <w:right w:val="nil"/>
                      <w:between w:val="nil"/>
                    </w:pBdr>
                    <w:jc w:val="center"/>
                    <w:rPr>
                      <w:rFonts w:ascii="Arial" w:eastAsia="Arial" w:hAnsi="Arial" w:cs="Arial"/>
                    </w:rPr>
                  </w:pPr>
                  <w:r>
                    <w:rPr>
                      <w:rFonts w:ascii="Arial" w:eastAsia="Arial" w:hAnsi="Arial" w:cs="Arial"/>
                    </w:rPr>
                    <w:t>28</w:t>
                  </w:r>
                </w:p>
              </w:tc>
              <w:tc>
                <w:tcPr>
                  <w:tcW w:w="1186" w:type="dxa"/>
                  <w:shd w:val="clear" w:color="auto" w:fill="auto"/>
                  <w:tcMar>
                    <w:top w:w="100" w:type="dxa"/>
                    <w:left w:w="100" w:type="dxa"/>
                    <w:bottom w:w="100" w:type="dxa"/>
                    <w:right w:w="100" w:type="dxa"/>
                  </w:tcMar>
                </w:tcPr>
                <w:p w14:paraId="789658B0"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3AD54E67"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242D8E07"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02AE5666" w14:textId="77777777" w:rsidR="00814DF0" w:rsidRDefault="003E40A1">
                  <w:pPr>
                    <w:widowControl w:val="0"/>
                    <w:jc w:val="center"/>
                    <w:rPr>
                      <w:rFonts w:ascii="Arial" w:eastAsia="Arial" w:hAnsi="Arial" w:cs="Arial"/>
                    </w:rPr>
                  </w:pPr>
                  <w:r>
                    <w:rPr>
                      <w:rFonts w:ascii="Arial" w:eastAsia="Arial" w:hAnsi="Arial" w:cs="Arial"/>
                    </w:rPr>
                    <w:t>None</w:t>
                  </w:r>
                </w:p>
              </w:tc>
              <w:tc>
                <w:tcPr>
                  <w:tcW w:w="1418" w:type="dxa"/>
                  <w:shd w:val="clear" w:color="auto" w:fill="auto"/>
                  <w:tcMar>
                    <w:top w:w="100" w:type="dxa"/>
                    <w:left w:w="100" w:type="dxa"/>
                    <w:bottom w:w="100" w:type="dxa"/>
                    <w:right w:w="100" w:type="dxa"/>
                  </w:tcMar>
                </w:tcPr>
                <w:p w14:paraId="75352ED7" w14:textId="77777777" w:rsidR="00814DF0" w:rsidRDefault="003E40A1">
                  <w:pPr>
                    <w:widowControl w:val="0"/>
                    <w:jc w:val="center"/>
                    <w:rPr>
                      <w:rFonts w:ascii="Arial" w:eastAsia="Arial" w:hAnsi="Arial" w:cs="Arial"/>
                    </w:rPr>
                  </w:pPr>
                  <w:r>
                    <w:rPr>
                      <w:rFonts w:ascii="Arial" w:eastAsia="Arial" w:hAnsi="Arial" w:cs="Arial"/>
                    </w:rPr>
                    <w:t>None</w:t>
                  </w:r>
                </w:p>
              </w:tc>
            </w:tr>
          </w:tbl>
          <w:p w14:paraId="496579CA" w14:textId="77777777" w:rsidR="00814DF0" w:rsidRDefault="00814DF0">
            <w:pPr>
              <w:ind w:right="-330"/>
              <w:rPr>
                <w:rFonts w:ascii="Arial" w:eastAsia="Arial" w:hAnsi="Arial" w:cs="Arial"/>
              </w:rPr>
            </w:pPr>
          </w:p>
          <w:p w14:paraId="54FE18CB" w14:textId="77777777" w:rsidR="00814DF0" w:rsidRDefault="003E40A1">
            <w:pPr>
              <w:ind w:right="-330"/>
              <w:rPr>
                <w:rFonts w:ascii="Arial" w:eastAsia="Arial" w:hAnsi="Arial" w:cs="Arial"/>
              </w:rPr>
            </w:pPr>
            <w:r>
              <w:rPr>
                <w:rFonts w:ascii="Arial" w:eastAsia="Arial" w:hAnsi="Arial" w:cs="Arial"/>
                <w:b/>
              </w:rPr>
              <w:t xml:space="preserve">Table 2. </w:t>
            </w:r>
            <w:r>
              <w:rPr>
                <w:rFonts w:ascii="Arial" w:eastAsia="Arial" w:hAnsi="Arial" w:cs="Arial"/>
              </w:rPr>
              <w:t xml:space="preserve">Results of the disc diffusion assay with 40-100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of marine bacteria crude broth loaded onto 6 mm sterile discs using Tetracycline 30 </w:t>
            </w:r>
            <w:r w:rsidR="00A619A6" w:rsidRPr="00A619A6">
              <w:rPr>
                <w:rFonts w:ascii="STIXGeneral-BoldItalic" w:eastAsia="Cambria Math" w:hAnsi="STIXGeneral-BoldItalic" w:cs="STIXGeneral-BoldItalic"/>
              </w:rPr>
              <w:t>𝞵</w:t>
            </w:r>
            <w:r>
              <w:rPr>
                <w:rFonts w:ascii="Arial" w:eastAsia="Arial" w:hAnsi="Arial" w:cs="Arial"/>
              </w:rPr>
              <w:t>g as a positive control and marine broth as a negative control.</w:t>
            </w:r>
          </w:p>
          <w:p w14:paraId="3309F87E" w14:textId="77777777" w:rsidR="00814DF0" w:rsidRDefault="00814DF0">
            <w:pPr>
              <w:ind w:right="-330"/>
              <w:rPr>
                <w:rFonts w:ascii="Arial" w:eastAsia="Arial" w:hAnsi="Arial" w:cs="Arial"/>
              </w:rPr>
            </w:pPr>
          </w:p>
          <w:p w14:paraId="208EBDF6" w14:textId="77777777" w:rsidR="00814DF0" w:rsidRDefault="00814DF0">
            <w:pPr>
              <w:ind w:right="-330"/>
              <w:rPr>
                <w:rFonts w:ascii="Arial" w:eastAsia="Arial" w:hAnsi="Arial" w:cs="Arial"/>
              </w:rPr>
            </w:pPr>
          </w:p>
          <w:p w14:paraId="1F1A4516" w14:textId="77777777" w:rsidR="00814DF0" w:rsidRDefault="003E40A1">
            <w:pPr>
              <w:ind w:right="-330"/>
              <w:rPr>
                <w:rFonts w:ascii="Arial" w:eastAsia="Arial" w:hAnsi="Arial" w:cs="Arial"/>
              </w:rPr>
            </w:pPr>
            <w:r>
              <w:rPr>
                <w:rFonts w:ascii="Arial" w:eastAsia="Arial" w:hAnsi="Arial" w:cs="Arial"/>
                <w:noProof/>
                <w:lang w:eastAsia="en-GB"/>
              </w:rPr>
              <w:drawing>
                <wp:inline distT="114300" distB="114300" distL="114300" distR="114300" wp14:anchorId="191E250D" wp14:editId="34802F07">
                  <wp:extent cx="6257925" cy="3327400"/>
                  <wp:effectExtent l="0" t="0" r="0" b="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6257925" cy="3327400"/>
                          </a:xfrm>
                          <a:prstGeom prst="rect">
                            <a:avLst/>
                          </a:prstGeom>
                          <a:ln/>
                        </pic:spPr>
                      </pic:pic>
                    </a:graphicData>
                  </a:graphic>
                </wp:inline>
              </w:drawing>
            </w:r>
            <w:r>
              <w:rPr>
                <w:rFonts w:ascii="Arial" w:eastAsia="Arial" w:hAnsi="Arial" w:cs="Arial"/>
              </w:rPr>
              <w:t xml:space="preserve"> </w:t>
            </w:r>
          </w:p>
          <w:p w14:paraId="4DD911BE" w14:textId="77777777" w:rsidR="00814DF0" w:rsidRDefault="003E40A1">
            <w:pPr>
              <w:ind w:right="-330"/>
              <w:rPr>
                <w:rFonts w:ascii="Arial" w:eastAsia="Arial" w:hAnsi="Arial" w:cs="Arial"/>
              </w:rPr>
            </w:pPr>
            <w:r>
              <w:rPr>
                <w:rFonts w:ascii="Arial" w:eastAsia="Arial" w:hAnsi="Arial" w:cs="Arial"/>
                <w:b/>
              </w:rPr>
              <w:t xml:space="preserve">Figure </w:t>
            </w:r>
            <w:proofErr w:type="gramStart"/>
            <w:r>
              <w:rPr>
                <w:rFonts w:ascii="Arial" w:eastAsia="Arial" w:hAnsi="Arial" w:cs="Arial"/>
                <w:b/>
              </w:rPr>
              <w:t xml:space="preserve">5  </w:t>
            </w:r>
            <w:r>
              <w:rPr>
                <w:rFonts w:ascii="Arial" w:eastAsia="Arial" w:hAnsi="Arial" w:cs="Arial"/>
              </w:rPr>
              <w:t>Example</w:t>
            </w:r>
            <w:proofErr w:type="gramEnd"/>
            <w:r>
              <w:rPr>
                <w:rFonts w:ascii="Arial" w:eastAsia="Arial" w:hAnsi="Arial" w:cs="Arial"/>
              </w:rPr>
              <w:t xml:space="preserve"> of the disc diffusion assay results. This is for LY1 ‘old’ that has been plated in duplicate.  The confluent growth of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can be seen throughout each plate with a clear zone of inhibition around the Tetracycline antibiotic discs. There is no zone of inhibition around the negative control (marine broth only) or the discs loaded with 40-100 𝞵L of the LY bacteria supernatant.</w:t>
            </w:r>
          </w:p>
          <w:p w14:paraId="1B8A7B12" w14:textId="77777777" w:rsidR="00814DF0" w:rsidRDefault="00814DF0">
            <w:pPr>
              <w:ind w:right="-330"/>
              <w:rPr>
                <w:rFonts w:ascii="Arial" w:eastAsia="Arial" w:hAnsi="Arial" w:cs="Arial"/>
              </w:rPr>
            </w:pPr>
          </w:p>
          <w:p w14:paraId="2AA01B3C" w14:textId="77777777" w:rsidR="00814DF0" w:rsidRDefault="00814DF0">
            <w:pPr>
              <w:ind w:right="-330"/>
              <w:rPr>
                <w:rFonts w:ascii="Arial" w:eastAsia="Arial" w:hAnsi="Arial" w:cs="Arial"/>
              </w:rPr>
            </w:pPr>
          </w:p>
          <w:p w14:paraId="5B41A164" w14:textId="77777777" w:rsidR="00814DF0" w:rsidRDefault="003E40A1">
            <w:pPr>
              <w:ind w:right="-330"/>
              <w:jc w:val="center"/>
              <w:rPr>
                <w:rFonts w:ascii="Arial" w:eastAsia="Arial" w:hAnsi="Arial" w:cs="Arial"/>
              </w:rPr>
            </w:pPr>
            <w:r>
              <w:rPr>
                <w:rFonts w:ascii="Arial" w:eastAsia="Arial" w:hAnsi="Arial" w:cs="Arial"/>
                <w:noProof/>
                <w:lang w:eastAsia="en-GB"/>
              </w:rPr>
              <w:lastRenderedPageBreak/>
              <w:drawing>
                <wp:inline distT="114300" distB="114300" distL="114300" distR="114300" wp14:anchorId="3498E813" wp14:editId="690BF425">
                  <wp:extent cx="5519567" cy="4679632"/>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519567" cy="4679632"/>
                          </a:xfrm>
                          <a:prstGeom prst="rect">
                            <a:avLst/>
                          </a:prstGeom>
                          <a:ln/>
                        </pic:spPr>
                      </pic:pic>
                    </a:graphicData>
                  </a:graphic>
                </wp:inline>
              </w:drawing>
            </w:r>
          </w:p>
          <w:p w14:paraId="7FD955F0" w14:textId="77777777" w:rsidR="00814DF0" w:rsidRDefault="00814DF0">
            <w:pPr>
              <w:ind w:right="-330"/>
              <w:jc w:val="center"/>
              <w:rPr>
                <w:rFonts w:ascii="Arial" w:eastAsia="Arial" w:hAnsi="Arial" w:cs="Arial"/>
              </w:rPr>
            </w:pPr>
          </w:p>
          <w:p w14:paraId="4FC2C582" w14:textId="77777777" w:rsidR="00814DF0" w:rsidRDefault="003E40A1">
            <w:pPr>
              <w:ind w:right="-330"/>
              <w:rPr>
                <w:rFonts w:ascii="Arial" w:eastAsia="Arial" w:hAnsi="Arial" w:cs="Arial"/>
                <w:b/>
              </w:rPr>
            </w:pPr>
            <w:r>
              <w:rPr>
                <w:rFonts w:ascii="Arial" w:eastAsia="Arial" w:hAnsi="Arial" w:cs="Arial"/>
                <w:b/>
              </w:rPr>
              <w:t xml:space="preserve">Figure 6. </w:t>
            </w:r>
            <w:r>
              <w:rPr>
                <w:rFonts w:ascii="Arial" w:eastAsia="Arial" w:hAnsi="Arial" w:cs="Arial"/>
              </w:rPr>
              <w:t xml:space="preserve">Disc diffusion assay results for culture NQ7 ‘new’ (A) is the first assay plate in entirety and (C) shows the disc loaded with 40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of culture supernatant indicating a possible small amount of inhibition around part of the disc. (B) is the duplicate assay plate with (D) being the 40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disc for this plate, also with small area where the </w:t>
            </w:r>
            <w:r>
              <w:rPr>
                <w:rFonts w:ascii="Arial" w:eastAsia="Arial" w:hAnsi="Arial" w:cs="Arial"/>
                <w:i/>
              </w:rPr>
              <w:t xml:space="preserve">V. </w:t>
            </w:r>
            <w:proofErr w:type="spellStart"/>
            <w:r>
              <w:rPr>
                <w:rFonts w:ascii="Arial" w:eastAsia="Arial" w:hAnsi="Arial" w:cs="Arial"/>
                <w:i/>
              </w:rPr>
              <w:t>parahaemolyticus</w:t>
            </w:r>
            <w:proofErr w:type="spellEnd"/>
            <w:r w:rsidR="00A619A6">
              <w:rPr>
                <w:rFonts w:ascii="Arial" w:eastAsia="Arial" w:hAnsi="Arial" w:cs="Arial"/>
              </w:rPr>
              <w:t xml:space="preserve"> seems not to have</w:t>
            </w:r>
            <w:r>
              <w:rPr>
                <w:rFonts w:ascii="Arial" w:eastAsia="Arial" w:hAnsi="Arial" w:cs="Arial"/>
              </w:rPr>
              <w:t xml:space="preserve"> grown. </w:t>
            </w:r>
          </w:p>
          <w:p w14:paraId="7E1FE6A9" w14:textId="77777777" w:rsidR="00814DF0" w:rsidRDefault="00814DF0">
            <w:pPr>
              <w:ind w:right="-330"/>
              <w:rPr>
                <w:rFonts w:ascii="Arial" w:eastAsia="Arial" w:hAnsi="Arial" w:cs="Arial"/>
              </w:rPr>
            </w:pPr>
          </w:p>
        </w:tc>
      </w:tr>
      <w:tr w:rsidR="00814DF0" w14:paraId="609AFFE1" w14:textId="77777777">
        <w:tc>
          <w:tcPr>
            <w:tcW w:w="10060" w:type="dxa"/>
          </w:tcPr>
          <w:p w14:paraId="579D0C7F" w14:textId="77777777" w:rsidR="00814DF0" w:rsidRDefault="00814DF0">
            <w:pPr>
              <w:ind w:right="-330"/>
              <w:rPr>
                <w:rFonts w:ascii="Arial" w:eastAsia="Arial" w:hAnsi="Arial" w:cs="Arial"/>
              </w:rPr>
            </w:pPr>
          </w:p>
          <w:p w14:paraId="3EF5434C" w14:textId="77777777" w:rsidR="00814DF0" w:rsidRDefault="00814DF0">
            <w:pPr>
              <w:ind w:right="-330"/>
              <w:rPr>
                <w:rFonts w:ascii="Arial" w:eastAsia="Arial" w:hAnsi="Arial" w:cs="Arial"/>
                <w:i/>
              </w:rPr>
            </w:pPr>
          </w:p>
          <w:p w14:paraId="6223884F" w14:textId="77777777" w:rsidR="00814DF0" w:rsidRDefault="00814DF0">
            <w:pPr>
              <w:ind w:right="-330"/>
              <w:rPr>
                <w:rFonts w:ascii="Arial" w:eastAsia="Arial" w:hAnsi="Arial" w:cs="Arial"/>
                <w:i/>
              </w:rPr>
            </w:pPr>
          </w:p>
          <w:p w14:paraId="08312667" w14:textId="77777777" w:rsidR="00814DF0" w:rsidRDefault="003E40A1">
            <w:pPr>
              <w:ind w:right="-330"/>
              <w:rPr>
                <w:rFonts w:ascii="Arial" w:eastAsia="Arial" w:hAnsi="Arial" w:cs="Arial"/>
                <w:i/>
              </w:rPr>
            </w:pPr>
            <w:r>
              <w:rPr>
                <w:rFonts w:ascii="Arial" w:eastAsia="Arial" w:hAnsi="Arial" w:cs="Arial"/>
                <w:i/>
              </w:rPr>
              <w:t>When writing this section, look at your results, graphs and tables and ask yourself – what does this data mean?</w:t>
            </w:r>
          </w:p>
        </w:tc>
      </w:tr>
    </w:tbl>
    <w:p w14:paraId="35573900" w14:textId="77777777" w:rsidR="00814DF0" w:rsidRDefault="00814DF0">
      <w:pPr>
        <w:spacing w:after="0"/>
        <w:ind w:left="-567" w:right="-330"/>
        <w:rPr>
          <w:rFonts w:ascii="Arial" w:eastAsia="Arial" w:hAnsi="Arial" w:cs="Arial"/>
        </w:rPr>
      </w:pPr>
    </w:p>
    <w:tbl>
      <w:tblPr>
        <w:tblStyle w:val="af1"/>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21C480A1" w14:textId="77777777">
        <w:tc>
          <w:tcPr>
            <w:tcW w:w="10060" w:type="dxa"/>
          </w:tcPr>
          <w:p w14:paraId="6E327BCE" w14:textId="77777777" w:rsidR="00814DF0" w:rsidRDefault="003E40A1">
            <w:pPr>
              <w:ind w:right="-330"/>
              <w:rPr>
                <w:rFonts w:ascii="Arial" w:eastAsia="Arial" w:hAnsi="Arial" w:cs="Arial"/>
                <w:b/>
              </w:rPr>
            </w:pPr>
            <w:r>
              <w:rPr>
                <w:rFonts w:ascii="Arial" w:eastAsia="Arial" w:hAnsi="Arial" w:cs="Arial"/>
                <w:b/>
              </w:rPr>
              <w:t xml:space="preserve">Section 5. Discussion </w:t>
            </w:r>
            <w:r>
              <w:rPr>
                <w:rFonts w:ascii="Arial" w:eastAsia="Arial" w:hAnsi="Arial" w:cs="Arial"/>
              </w:rPr>
              <w:t>(300-600 words)</w:t>
            </w:r>
          </w:p>
        </w:tc>
      </w:tr>
      <w:tr w:rsidR="00814DF0" w14:paraId="5ABBB3CF" w14:textId="77777777">
        <w:trPr>
          <w:trHeight w:val="1100"/>
        </w:trPr>
        <w:tc>
          <w:tcPr>
            <w:tcW w:w="10060" w:type="dxa"/>
          </w:tcPr>
          <w:p w14:paraId="0A875E75" w14:textId="77777777" w:rsidR="00814DF0" w:rsidRDefault="00814DF0">
            <w:pPr>
              <w:ind w:right="-330"/>
              <w:rPr>
                <w:rFonts w:ascii="Arial" w:eastAsia="Arial" w:hAnsi="Arial" w:cs="Arial"/>
              </w:rPr>
            </w:pPr>
          </w:p>
          <w:p w14:paraId="063F6A4D" w14:textId="77777777" w:rsidR="00814DF0" w:rsidRDefault="003E40A1">
            <w:pPr>
              <w:ind w:right="-330"/>
              <w:rPr>
                <w:rFonts w:ascii="Arial" w:eastAsia="Arial" w:hAnsi="Arial" w:cs="Arial"/>
              </w:rPr>
            </w:pPr>
            <w:r>
              <w:rPr>
                <w:rFonts w:ascii="Arial" w:eastAsia="Arial" w:hAnsi="Arial" w:cs="Arial"/>
              </w:rPr>
              <w:t>The marine bacteria used in this experiment were successfully brought into the liquid culture for the first time, and all were found to maintain their pigment in the liquid broth which is a good outcome as marine bacteria with unique colour properties have been found to have broad-ranging pharmacological activities (</w:t>
            </w:r>
            <w:proofErr w:type="spellStart"/>
            <w:r>
              <w:rPr>
                <w:rFonts w:ascii="Arial" w:eastAsia="Arial" w:hAnsi="Arial" w:cs="Arial"/>
              </w:rPr>
              <w:t>Soliev</w:t>
            </w:r>
            <w:proofErr w:type="spellEnd"/>
            <w:r>
              <w:rPr>
                <w:rFonts w:ascii="Arial" w:eastAsia="Arial" w:hAnsi="Arial" w:cs="Arial"/>
              </w:rPr>
              <w:t xml:space="preserve"> et al., 2011).  Culture PW6 did not reach the OD of the other cultures, although this may be because the colonies of this culture were generally much smaller (some &lt;1mm) than those of the other cultures as documented by the colony photomicrographs, which were the first images that we have captured of these colonies. </w:t>
            </w:r>
          </w:p>
          <w:p w14:paraId="49DDBD80" w14:textId="77777777" w:rsidR="00814DF0" w:rsidRDefault="003E40A1">
            <w:pPr>
              <w:ind w:right="-330"/>
              <w:rPr>
                <w:rFonts w:ascii="Arial" w:eastAsia="Arial" w:hAnsi="Arial" w:cs="Arial"/>
              </w:rPr>
            </w:pPr>
            <w:r>
              <w:rPr>
                <w:rFonts w:ascii="Arial" w:eastAsia="Arial" w:hAnsi="Arial" w:cs="Arial"/>
              </w:rPr>
              <w:t xml:space="preserve">The disc diffusion assay results indicated that the Tetracycline (30 </w:t>
            </w:r>
            <w:r w:rsidR="00A619A6" w:rsidRPr="00A619A6">
              <w:rPr>
                <w:rFonts w:ascii="STIXGeneral-BoldItalic" w:eastAsia="Cambria Math" w:hAnsi="STIXGeneral-BoldItalic" w:cs="STIXGeneral-BoldItalic"/>
              </w:rPr>
              <w:t>𝞵</w:t>
            </w:r>
            <w:r>
              <w:rPr>
                <w:rFonts w:ascii="Arial" w:eastAsia="Arial" w:hAnsi="Arial" w:cs="Arial"/>
              </w:rPr>
              <w:t xml:space="preserve">g) is a suitable positive control to use in an assay with </w:t>
            </w:r>
            <w:r>
              <w:rPr>
                <w:rFonts w:ascii="Arial" w:eastAsia="Arial" w:hAnsi="Arial" w:cs="Arial"/>
                <w:i/>
              </w:rPr>
              <w:t xml:space="preserve">Vibrio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as a consistent clear zone of inhibition was seen for each plate.  In addition, the negative control indicated that the </w:t>
            </w:r>
            <w:proofErr w:type="spellStart"/>
            <w:r>
              <w:rPr>
                <w:rFonts w:ascii="Arial" w:eastAsia="Arial" w:hAnsi="Arial" w:cs="Arial"/>
              </w:rPr>
              <w:t>Difco</w:t>
            </w:r>
            <w:proofErr w:type="spellEnd"/>
            <w:r>
              <w:rPr>
                <w:rFonts w:ascii="Arial" w:eastAsia="Arial" w:hAnsi="Arial" w:cs="Arial"/>
              </w:rPr>
              <w:t xml:space="preserve"> marine broth did not inhibit the </w:t>
            </w:r>
            <w:r>
              <w:rPr>
                <w:rFonts w:ascii="Arial" w:eastAsia="Arial" w:hAnsi="Arial" w:cs="Arial"/>
                <w:i/>
              </w:rPr>
              <w:t xml:space="preserve">Vibrio </w:t>
            </w:r>
            <w:proofErr w:type="spellStart"/>
            <w:r>
              <w:rPr>
                <w:rFonts w:ascii="Arial" w:eastAsia="Arial" w:hAnsi="Arial" w:cs="Arial"/>
                <w:i/>
              </w:rPr>
              <w:lastRenderedPageBreak/>
              <w:t>parahaemolyticus</w:t>
            </w:r>
            <w:proofErr w:type="spellEnd"/>
            <w:r>
              <w:rPr>
                <w:rFonts w:ascii="Arial" w:eastAsia="Arial" w:hAnsi="Arial" w:cs="Arial"/>
              </w:rPr>
              <w:t xml:space="preserve"> when discs were loaded with up to 80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of broth, which would allow us to therefore be confident that any inhibition from marine bacteria culture would be from cell exudate rather than the marine broth. </w:t>
            </w:r>
            <w:r>
              <w:rPr>
                <w:rFonts w:ascii="Arial" w:eastAsia="Arial" w:hAnsi="Arial" w:cs="Arial"/>
                <w:i/>
              </w:rPr>
              <w:t xml:space="preserve"> </w:t>
            </w:r>
            <w:r>
              <w:rPr>
                <w:rFonts w:ascii="Arial" w:eastAsia="Arial" w:hAnsi="Arial" w:cs="Arial"/>
              </w:rPr>
              <w:t xml:space="preserve">Our experiments confirmed that there was no zone of inhibition produced by the marine bacteria cultures tested.  Although this may be because the cultures did not produce an antibacterial to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rPr>
              <w:t xml:space="preserve"> we have also determined that there are a number of limitations to the experimental methods used for this project.  The marine bacteria were isolated from UK environmental coastal sediment samples, and UK sea temperatures would generally be at a temperature of no higher than 20 °C, with Scottish sites experiencing a lower maxima. As such, at the 26 °C, used in these experiments, the bacteria may not produce antimicrobial compounds, although they may do at lower temperatures.  In addition, the need for another bacteria’s presence may be required for the production of the antibiotic, for example in the natural environment the marine bacteria would be in an assemblage with others and for a compound to be produced by antagonism, the marine bacteria would need to be exposed to other bacterium. This may be the reason some inhibition was seen during the Antibiotics Unearthed project as marine bacteria were in close contact in cross-streaking experiments with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rPr>
              <w:t xml:space="preserve">, which was not the case in this project, and is more difficult to achieve when growing in liquid culture.  There may also be some ingredient lacking within the type of broth used and there may be a possibility that the bacteria produce the compounds in a different stage of growth phase rather than at the stationary phase, at which we took the samples.  Since we currently do not know the species identification of all the marine bacteria used in this project, once the molecular analysis of the pellets stored from this project has been completed, we may be able to perform more targeted growth experiments.  There is also a limitation of using the crude broth for a disc diffusion assay, as it may be that cells are producing a compound of interest at very low concentrations, as we did not try to perform solvent extractions to concentrate the sample.  There are also limitations to using a disc diffusion assay as the rate of dispersion of compounds through the agar may be variable.  It may also be possible that the marine bacteria tested do not produce antimicrobial compounds against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although they may be effective against another species of bacteria not tested within this project. Since there are so many variables and potential limitations to these experimental approaches, an alternative approach would be to produce whole genome sequences of the marine bacteria species and then search these for potential genes of interest using bioprospecting approaches (</w:t>
            </w:r>
            <w:proofErr w:type="spellStart"/>
            <w:r>
              <w:rPr>
                <w:rFonts w:ascii="Arial" w:eastAsia="Arial" w:hAnsi="Arial" w:cs="Arial"/>
              </w:rPr>
              <w:t>eg</w:t>
            </w:r>
            <w:proofErr w:type="spellEnd"/>
            <w:r>
              <w:rPr>
                <w:rFonts w:ascii="Arial" w:eastAsia="Arial" w:hAnsi="Arial" w:cs="Arial"/>
              </w:rPr>
              <w:t xml:space="preserve"> </w:t>
            </w:r>
            <w:proofErr w:type="spellStart"/>
            <w:r>
              <w:rPr>
                <w:rFonts w:ascii="Arial" w:eastAsia="Arial" w:hAnsi="Arial" w:cs="Arial"/>
              </w:rPr>
              <w:t>Zotchev</w:t>
            </w:r>
            <w:proofErr w:type="spellEnd"/>
            <w:r>
              <w:rPr>
                <w:rFonts w:ascii="Arial" w:eastAsia="Arial" w:hAnsi="Arial" w:cs="Arial"/>
              </w:rPr>
              <w:t xml:space="preserve">, </w:t>
            </w:r>
            <w:proofErr w:type="spellStart"/>
            <w:r>
              <w:rPr>
                <w:rFonts w:ascii="Arial" w:eastAsia="Arial" w:hAnsi="Arial" w:cs="Arial"/>
              </w:rPr>
              <w:t>Sekurova</w:t>
            </w:r>
            <w:proofErr w:type="spellEnd"/>
            <w:r>
              <w:rPr>
                <w:rFonts w:ascii="Arial" w:eastAsia="Arial" w:hAnsi="Arial" w:cs="Arial"/>
              </w:rPr>
              <w:t xml:space="preserve"> and Katz, 2012</w:t>
            </w:r>
            <w:r w:rsidR="00A619A6">
              <w:rPr>
                <w:rFonts w:ascii="Arial" w:eastAsia="Arial" w:hAnsi="Arial" w:cs="Arial"/>
              </w:rPr>
              <w:t>), which</w:t>
            </w:r>
            <w:r>
              <w:rPr>
                <w:rFonts w:ascii="Arial" w:eastAsia="Arial" w:hAnsi="Arial" w:cs="Arial"/>
              </w:rPr>
              <w:t xml:space="preserve"> may also provide information on other natural therapeutic compounds of interest.</w:t>
            </w:r>
          </w:p>
        </w:tc>
      </w:tr>
      <w:tr w:rsidR="00814DF0" w14:paraId="5F1CAB93" w14:textId="77777777">
        <w:tc>
          <w:tcPr>
            <w:tcW w:w="10060" w:type="dxa"/>
          </w:tcPr>
          <w:p w14:paraId="6DEE0402" w14:textId="77777777" w:rsidR="00814DF0" w:rsidRDefault="003E40A1">
            <w:pPr>
              <w:ind w:right="-330"/>
              <w:rPr>
                <w:rFonts w:ascii="Arial" w:eastAsia="Arial" w:hAnsi="Arial" w:cs="Arial"/>
                <w:i/>
              </w:rPr>
            </w:pPr>
            <w:r>
              <w:rPr>
                <w:rFonts w:ascii="Arial" w:eastAsia="Arial" w:hAnsi="Arial" w:cs="Arial"/>
                <w:i/>
              </w:rPr>
              <w:lastRenderedPageBreak/>
              <w:t>Tip: When writing this section think about your aims. Did you achieve your aims? Were your results           as expected? Are you findings consistent with other work in the literature?</w:t>
            </w:r>
          </w:p>
        </w:tc>
      </w:tr>
    </w:tbl>
    <w:p w14:paraId="69EF0123" w14:textId="77777777" w:rsidR="00814DF0" w:rsidRDefault="00814DF0">
      <w:pPr>
        <w:spacing w:after="0"/>
        <w:ind w:right="-330"/>
        <w:rPr>
          <w:rFonts w:ascii="Arial" w:eastAsia="Arial" w:hAnsi="Arial" w:cs="Arial"/>
        </w:rPr>
      </w:pPr>
    </w:p>
    <w:tbl>
      <w:tblPr>
        <w:tblStyle w:val="af2"/>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05387A3F" w14:textId="77777777">
        <w:tc>
          <w:tcPr>
            <w:tcW w:w="10060" w:type="dxa"/>
          </w:tcPr>
          <w:p w14:paraId="110B9AA6" w14:textId="77777777" w:rsidR="00814DF0" w:rsidRDefault="003E40A1">
            <w:pPr>
              <w:ind w:right="-330"/>
              <w:rPr>
                <w:rFonts w:ascii="Arial" w:eastAsia="Arial" w:hAnsi="Arial" w:cs="Arial"/>
                <w:b/>
              </w:rPr>
            </w:pPr>
            <w:r>
              <w:rPr>
                <w:rFonts w:ascii="Arial" w:eastAsia="Arial" w:hAnsi="Arial" w:cs="Arial"/>
                <w:b/>
              </w:rPr>
              <w:t xml:space="preserve">Section 6. Conclusions and Future Work </w:t>
            </w:r>
            <w:r>
              <w:rPr>
                <w:rFonts w:ascii="Arial" w:eastAsia="Arial" w:hAnsi="Arial" w:cs="Arial"/>
              </w:rPr>
              <w:t>(200-300 words)</w:t>
            </w:r>
          </w:p>
        </w:tc>
      </w:tr>
      <w:tr w:rsidR="00814DF0" w14:paraId="7D6DE41D" w14:textId="77777777">
        <w:trPr>
          <w:trHeight w:val="740"/>
        </w:trPr>
        <w:tc>
          <w:tcPr>
            <w:tcW w:w="10060" w:type="dxa"/>
          </w:tcPr>
          <w:p w14:paraId="62B66F3E" w14:textId="77777777" w:rsidR="00814DF0" w:rsidRDefault="00814DF0">
            <w:pPr>
              <w:ind w:right="-330"/>
              <w:rPr>
                <w:rFonts w:ascii="Arial" w:eastAsia="Arial" w:hAnsi="Arial" w:cs="Arial"/>
              </w:rPr>
            </w:pPr>
          </w:p>
          <w:p w14:paraId="0BD68BBF" w14:textId="77777777" w:rsidR="00814DF0" w:rsidRDefault="003E40A1">
            <w:pPr>
              <w:ind w:right="-330"/>
              <w:rPr>
                <w:rFonts w:ascii="Arial" w:eastAsia="Arial" w:hAnsi="Arial" w:cs="Arial"/>
              </w:rPr>
            </w:pPr>
            <w:r>
              <w:rPr>
                <w:rFonts w:ascii="Arial" w:eastAsia="Arial" w:hAnsi="Arial" w:cs="Arial"/>
              </w:rPr>
              <w:t xml:space="preserve">This section should include: key messages/findings as well as suggestions for how your work could be continued in the future. </w:t>
            </w:r>
          </w:p>
          <w:p w14:paraId="40BBD948" w14:textId="77777777" w:rsidR="00814DF0" w:rsidRDefault="00814DF0">
            <w:pPr>
              <w:ind w:right="-330"/>
              <w:rPr>
                <w:rFonts w:ascii="Arial" w:eastAsia="Arial" w:hAnsi="Arial" w:cs="Arial"/>
              </w:rPr>
            </w:pPr>
          </w:p>
          <w:p w14:paraId="018B7028" w14:textId="77777777" w:rsidR="00814DF0" w:rsidRDefault="003E40A1">
            <w:pPr>
              <w:ind w:right="-330"/>
              <w:rPr>
                <w:rFonts w:ascii="Arial" w:eastAsia="Arial" w:hAnsi="Arial" w:cs="Arial"/>
              </w:rPr>
            </w:pPr>
            <w:r>
              <w:rPr>
                <w:rFonts w:ascii="Arial" w:eastAsia="Arial" w:hAnsi="Arial" w:cs="Arial"/>
              </w:rPr>
              <w:t xml:space="preserve">This students as co-creators project has allowed us to investigate the potential for six marine bacteria cultures to produce antibacterial compounds to the pathogenic bacterium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w:t>
            </w:r>
            <w:r>
              <w:rPr>
                <w:rFonts w:ascii="Arial" w:eastAsia="Arial" w:hAnsi="Arial" w:cs="Arial"/>
              </w:rPr>
              <w:t xml:space="preserve"> On growing the marine bacteria in </w:t>
            </w:r>
            <w:proofErr w:type="spellStart"/>
            <w:r>
              <w:rPr>
                <w:rFonts w:ascii="Arial" w:eastAsia="Arial" w:hAnsi="Arial" w:cs="Arial"/>
              </w:rPr>
              <w:t>Difco</w:t>
            </w:r>
            <w:proofErr w:type="spellEnd"/>
            <w:r>
              <w:rPr>
                <w:rFonts w:ascii="Arial" w:eastAsia="Arial" w:hAnsi="Arial" w:cs="Arial"/>
              </w:rPr>
              <w:t xml:space="preserve"> marine broth at 26 °C, 150 RPM disc diffusion assays indicated that when using 40 -100 </w:t>
            </w:r>
            <w:r w:rsidR="00A619A6" w:rsidRPr="00A619A6">
              <w:rPr>
                <w:rFonts w:ascii="STIXGeneral-BoldItalic" w:eastAsia="Cambria Math" w:hAnsi="STIXGeneral-BoldItalic" w:cs="STIXGeneral-BoldItalic"/>
              </w:rPr>
              <w:t>𝞵</w:t>
            </w:r>
            <w:r w:rsidR="00A619A6" w:rsidRPr="00A619A6">
              <w:rPr>
                <w:rFonts w:ascii="Arial" w:eastAsia="Arial" w:hAnsi="Arial" w:cs="Arial"/>
              </w:rPr>
              <w:t>L</w:t>
            </w:r>
            <w:r>
              <w:rPr>
                <w:rFonts w:ascii="Arial" w:eastAsia="Arial" w:hAnsi="Arial" w:cs="Arial"/>
              </w:rPr>
              <w:t xml:space="preserve"> of the crude broth no inhibition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 xml:space="preserve">was found.  It may be possible that the marine bacteria need to be in the presence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rPr>
              <w:t xml:space="preserve"> to produce an antibacterial due to an antagonism reaction, or that adapting the growth conditions or concentrating the extracts rather than use a crude broth extract may yield an inhibitory result.  These are all experimental approaches that could be used for future research. All the marine bacteria liquid cultures were found to retain pigmentation and it may well be that the </w:t>
            </w:r>
            <w:proofErr w:type="spellStart"/>
            <w:r>
              <w:rPr>
                <w:rFonts w:ascii="Arial" w:eastAsia="Arial" w:hAnsi="Arial" w:cs="Arial"/>
              </w:rPr>
              <w:t>biopigments</w:t>
            </w:r>
            <w:proofErr w:type="spellEnd"/>
            <w:r>
              <w:rPr>
                <w:rFonts w:ascii="Arial" w:eastAsia="Arial" w:hAnsi="Arial" w:cs="Arial"/>
              </w:rPr>
              <w:t xml:space="preserve"> produced by these bacteria may have other potential uses and that also bioprospecting using molecular methods of whole genome analysis rather than employing many different growth variables may be a more suitable alternative to use.  The global rise of antibiotic resistance is an important topic and we have helped to spread the message of this topic through our stand at the Science4sustainability schools event and through the use of social media platforms. </w:t>
            </w:r>
          </w:p>
          <w:p w14:paraId="5D5A6F91" w14:textId="77777777" w:rsidR="00814DF0" w:rsidRDefault="00814DF0">
            <w:pPr>
              <w:ind w:right="-330"/>
              <w:rPr>
                <w:rFonts w:ascii="Arial" w:eastAsia="Arial" w:hAnsi="Arial" w:cs="Arial"/>
              </w:rPr>
            </w:pPr>
          </w:p>
          <w:p w14:paraId="717700FD" w14:textId="77777777" w:rsidR="00814DF0" w:rsidRDefault="00814DF0">
            <w:pPr>
              <w:ind w:right="-330"/>
              <w:rPr>
                <w:rFonts w:ascii="Arial" w:eastAsia="Arial" w:hAnsi="Arial" w:cs="Arial"/>
              </w:rPr>
            </w:pPr>
          </w:p>
        </w:tc>
      </w:tr>
    </w:tbl>
    <w:p w14:paraId="7BD536A0" w14:textId="77777777" w:rsidR="00814DF0" w:rsidRDefault="00814DF0">
      <w:pPr>
        <w:spacing w:after="0"/>
        <w:ind w:left="-567" w:right="-330"/>
        <w:rPr>
          <w:rFonts w:ascii="Arial" w:eastAsia="Arial" w:hAnsi="Arial" w:cs="Arial"/>
        </w:rPr>
      </w:pPr>
    </w:p>
    <w:tbl>
      <w:tblPr>
        <w:tblStyle w:val="af3"/>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6090AFC8" w14:textId="77777777">
        <w:tc>
          <w:tcPr>
            <w:tcW w:w="10060" w:type="dxa"/>
          </w:tcPr>
          <w:p w14:paraId="3D9D8F56" w14:textId="77777777" w:rsidR="00814DF0" w:rsidRDefault="003E40A1">
            <w:pPr>
              <w:ind w:right="-330"/>
              <w:rPr>
                <w:rFonts w:ascii="Arial" w:eastAsia="Arial" w:hAnsi="Arial" w:cs="Arial"/>
                <w:b/>
              </w:rPr>
            </w:pPr>
            <w:r>
              <w:rPr>
                <w:rFonts w:ascii="Arial" w:eastAsia="Arial" w:hAnsi="Arial" w:cs="Arial"/>
                <w:b/>
              </w:rPr>
              <w:t xml:space="preserve">Section 7. Lessons Learned </w:t>
            </w:r>
            <w:r>
              <w:rPr>
                <w:rFonts w:ascii="Arial" w:eastAsia="Arial" w:hAnsi="Arial" w:cs="Arial"/>
              </w:rPr>
              <w:t>(200-600 words)</w:t>
            </w:r>
          </w:p>
        </w:tc>
      </w:tr>
      <w:tr w:rsidR="00814DF0" w14:paraId="52AED333" w14:textId="77777777">
        <w:trPr>
          <w:trHeight w:val="680"/>
        </w:trPr>
        <w:tc>
          <w:tcPr>
            <w:tcW w:w="10060" w:type="dxa"/>
          </w:tcPr>
          <w:p w14:paraId="29B467D2" w14:textId="77777777" w:rsidR="00814DF0" w:rsidRDefault="00814DF0">
            <w:pPr>
              <w:ind w:right="-330"/>
              <w:rPr>
                <w:rFonts w:ascii="Arial" w:eastAsia="Arial" w:hAnsi="Arial" w:cs="Arial"/>
              </w:rPr>
            </w:pPr>
          </w:p>
          <w:p w14:paraId="08FFA6CE" w14:textId="77777777" w:rsidR="00814DF0" w:rsidRDefault="003E40A1">
            <w:pPr>
              <w:ind w:right="-330"/>
              <w:rPr>
                <w:rFonts w:ascii="Arial" w:eastAsia="Arial" w:hAnsi="Arial" w:cs="Arial"/>
              </w:rPr>
            </w:pPr>
            <w:r>
              <w:rPr>
                <w:rFonts w:ascii="Arial" w:eastAsia="Arial" w:hAnsi="Arial" w:cs="Arial"/>
              </w:rPr>
              <w:t xml:space="preserve">New microbiological techniques were employed that will be helpful during the new academic year(s) practices. As students we have gained confidence in the </w:t>
            </w:r>
            <w:r w:rsidR="00A619A6">
              <w:rPr>
                <w:rFonts w:ascii="Arial" w:eastAsia="Arial" w:hAnsi="Arial" w:cs="Arial"/>
              </w:rPr>
              <w:t>laboratory, which</w:t>
            </w:r>
            <w:r>
              <w:rPr>
                <w:rFonts w:ascii="Arial" w:eastAsia="Arial" w:hAnsi="Arial" w:cs="Arial"/>
              </w:rPr>
              <w:t xml:space="preserve"> we consider will help us to be more active in academic group sessions and to have a better performance. We also gained confidence in trying new techniques and discovering their outcomes. Additionally, as students we learnt from each other as some had acquired skills in techniques through the academic years or through different courses (we had members of the team from different pathways and at different course levels). We learnt that team working and good communication were essential for the preparation and the division of the duties during the lab sessions.  Another lesson was taught by the project itself and it is a life-long lesson, as not always do you have the results expected and that things not initially planned can also influence the outcomes. Also, in research the time taken can be longer than first planned and still not result in having any particular expected findings. However, the project has also taught us that this time is not completely wasted, as negative results are also considered results and scientists can research further based on them. An example is how the </w:t>
            </w:r>
            <w:r>
              <w:rPr>
                <w:rFonts w:ascii="Arial" w:eastAsia="Arial" w:hAnsi="Arial" w:cs="Arial"/>
                <w:i/>
              </w:rPr>
              <w:t>A</w:t>
            </w:r>
            <w:r>
              <w:rPr>
                <w:rFonts w:ascii="Arial" w:eastAsia="Arial" w:hAnsi="Arial" w:cs="Arial"/>
              </w:rPr>
              <w:t>ntibiotics Undersea co-creators project was based on the Antibiotics Unearthed project results.  In the Antibiotics Unearthed project we had spent many hours isolating cells to produce bacteria cultures, but not had the opportunity to take them to the next stage of disc diffusion assays test, so it was good to see how this work was progressing with our cultures and to consider how our co-creators project can be taken further by beginning to address the limitations in methods and use of environmental samples that we have highlighted from our research.</w:t>
            </w:r>
          </w:p>
        </w:tc>
      </w:tr>
      <w:tr w:rsidR="00814DF0" w14:paraId="664B58D1" w14:textId="77777777">
        <w:tc>
          <w:tcPr>
            <w:tcW w:w="10060" w:type="dxa"/>
          </w:tcPr>
          <w:p w14:paraId="17E9255E" w14:textId="77777777" w:rsidR="00814DF0" w:rsidRDefault="003E40A1">
            <w:pPr>
              <w:ind w:right="-330"/>
              <w:rPr>
                <w:rFonts w:ascii="Arial" w:eastAsia="Arial" w:hAnsi="Arial" w:cs="Arial"/>
                <w:i/>
              </w:rPr>
            </w:pPr>
            <w:r>
              <w:rPr>
                <w:rFonts w:ascii="Arial" w:eastAsia="Arial" w:hAnsi="Arial" w:cs="Arial"/>
                <w:i/>
              </w:rPr>
              <w:t xml:space="preserve">Tip: Think about how you are going to get your research across to your stakeholders. Be realistic     about this and consider whose help you may need in the process.  </w:t>
            </w:r>
          </w:p>
        </w:tc>
      </w:tr>
    </w:tbl>
    <w:p w14:paraId="739B49AD" w14:textId="77777777" w:rsidR="00814DF0" w:rsidRDefault="00814DF0">
      <w:pPr>
        <w:spacing w:after="0"/>
        <w:ind w:right="-330"/>
        <w:rPr>
          <w:rFonts w:ascii="Arial" w:eastAsia="Arial" w:hAnsi="Arial" w:cs="Arial"/>
        </w:rPr>
      </w:pPr>
    </w:p>
    <w:tbl>
      <w:tblPr>
        <w:tblStyle w:val="af4"/>
        <w:tblW w:w="10060"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814DF0" w14:paraId="1E74A271" w14:textId="77777777">
        <w:tc>
          <w:tcPr>
            <w:tcW w:w="10060" w:type="dxa"/>
          </w:tcPr>
          <w:p w14:paraId="27666670" w14:textId="77777777" w:rsidR="00814DF0" w:rsidRDefault="003E40A1">
            <w:pPr>
              <w:ind w:right="-330"/>
              <w:rPr>
                <w:rFonts w:ascii="Arial" w:eastAsia="Arial" w:hAnsi="Arial" w:cs="Arial"/>
                <w:b/>
              </w:rPr>
            </w:pPr>
            <w:r>
              <w:rPr>
                <w:rFonts w:ascii="Arial" w:eastAsia="Arial" w:hAnsi="Arial" w:cs="Arial"/>
                <w:b/>
              </w:rPr>
              <w:t xml:space="preserve">Section 8. Group Reflection </w:t>
            </w:r>
            <w:r>
              <w:rPr>
                <w:rFonts w:ascii="Arial" w:eastAsia="Arial" w:hAnsi="Arial" w:cs="Arial"/>
              </w:rPr>
              <w:t>(200-300 words)</w:t>
            </w:r>
          </w:p>
        </w:tc>
      </w:tr>
      <w:tr w:rsidR="00814DF0" w14:paraId="5ED82898" w14:textId="77777777">
        <w:trPr>
          <w:trHeight w:val="1300"/>
        </w:trPr>
        <w:tc>
          <w:tcPr>
            <w:tcW w:w="10060" w:type="dxa"/>
          </w:tcPr>
          <w:p w14:paraId="7B889506" w14:textId="77777777" w:rsidR="00814DF0" w:rsidRDefault="00814DF0">
            <w:pPr>
              <w:ind w:right="-330"/>
              <w:rPr>
                <w:rFonts w:ascii="Arial" w:eastAsia="Arial" w:hAnsi="Arial" w:cs="Arial"/>
              </w:rPr>
            </w:pPr>
          </w:p>
          <w:p w14:paraId="41CA0E6D" w14:textId="77777777" w:rsidR="00814DF0" w:rsidRDefault="003E40A1">
            <w:pPr>
              <w:ind w:right="-330"/>
              <w:rPr>
                <w:rFonts w:ascii="Arial" w:eastAsia="Arial" w:hAnsi="Arial" w:cs="Arial"/>
              </w:rPr>
            </w:pPr>
            <w:r>
              <w:rPr>
                <w:rFonts w:ascii="Arial" w:eastAsia="Arial" w:hAnsi="Arial" w:cs="Arial"/>
              </w:rPr>
              <w:t>The success of the project was probably due to the effort, the ideas and the work brought by the teachers (</w:t>
            </w:r>
            <w:r>
              <w:rPr>
                <w:rFonts w:ascii="Arial" w:eastAsia="Arial" w:hAnsi="Arial" w:cs="Arial"/>
                <w:i/>
              </w:rPr>
              <w:t>note: this is a student comment</w:t>
            </w:r>
            <w:r>
              <w:rPr>
                <w:rFonts w:ascii="Arial" w:eastAsia="Arial" w:hAnsi="Arial" w:cs="Arial"/>
              </w:rPr>
              <w:t>) as well as having a number of students who were committed to carry out the project. The main problem in this research was the variety of the colonies and the possible methods that could be used during the experiment as it was difficult to choose a route to start with and we have reflected on this in the discussion of the limitations of the experimental approach.</w:t>
            </w:r>
          </w:p>
          <w:p w14:paraId="7F984030" w14:textId="77777777" w:rsidR="00814DF0" w:rsidRDefault="003E40A1">
            <w:pPr>
              <w:ind w:right="-330"/>
              <w:rPr>
                <w:rFonts w:ascii="Arial" w:eastAsia="Arial" w:hAnsi="Arial" w:cs="Arial"/>
              </w:rPr>
            </w:pPr>
            <w:r>
              <w:rPr>
                <w:rFonts w:ascii="Arial" w:eastAsia="Arial" w:hAnsi="Arial" w:cs="Arial"/>
              </w:rPr>
              <w:t xml:space="preserve">Initially the project was designed for a larger group with the main co-creators facilitating each group, however since </w:t>
            </w:r>
            <w:proofErr w:type="spellStart"/>
            <w:r>
              <w:rPr>
                <w:rFonts w:ascii="Arial" w:eastAsia="Arial" w:hAnsi="Arial" w:cs="Arial"/>
              </w:rPr>
              <w:t>L.Percy</w:t>
            </w:r>
            <w:proofErr w:type="spellEnd"/>
            <w:r>
              <w:rPr>
                <w:rFonts w:ascii="Arial" w:eastAsia="Arial" w:hAnsi="Arial" w:cs="Arial"/>
              </w:rPr>
              <w:t xml:space="preserve"> was on sick leave we were unable to do this, and we therefore had to use a more stream-lined approach to our research.  With larger group sizes we could perhaps have screened many more cultures from our culture collection, although we did focus on those that had yielded some inhibition of </w:t>
            </w:r>
            <w:r>
              <w:rPr>
                <w:rFonts w:ascii="Arial" w:eastAsia="Arial" w:hAnsi="Arial" w:cs="Arial"/>
                <w:i/>
              </w:rPr>
              <w:t xml:space="preserve">V. </w:t>
            </w:r>
            <w:proofErr w:type="spellStart"/>
            <w:r>
              <w:rPr>
                <w:rFonts w:ascii="Arial" w:eastAsia="Arial" w:hAnsi="Arial" w:cs="Arial"/>
                <w:i/>
              </w:rPr>
              <w:t>parahaemolyticus</w:t>
            </w:r>
            <w:proofErr w:type="spellEnd"/>
            <w:r>
              <w:rPr>
                <w:rFonts w:ascii="Arial" w:eastAsia="Arial" w:hAnsi="Arial" w:cs="Arial"/>
                <w:i/>
              </w:rPr>
              <w:t xml:space="preserve"> </w:t>
            </w:r>
            <w:r>
              <w:rPr>
                <w:rFonts w:ascii="Arial" w:eastAsia="Arial" w:hAnsi="Arial" w:cs="Arial"/>
              </w:rPr>
              <w:t>from the Antibiotics Unearthed project, and these did not produce any inhibition in our experiments.</w:t>
            </w:r>
          </w:p>
          <w:p w14:paraId="0EE3746A" w14:textId="77777777" w:rsidR="00814DF0" w:rsidRDefault="003E40A1">
            <w:pPr>
              <w:ind w:right="-330"/>
              <w:rPr>
                <w:rFonts w:ascii="Arial" w:eastAsia="Arial" w:hAnsi="Arial" w:cs="Arial"/>
              </w:rPr>
            </w:pPr>
            <w:r>
              <w:rPr>
                <w:rFonts w:ascii="Arial" w:eastAsia="Arial" w:hAnsi="Arial" w:cs="Arial"/>
              </w:rPr>
              <w:t xml:space="preserve">Collaborative working has been a great asset to carry out the experiments as the majority of the questions and problems were solved with teamwork by discussing what could have been done. We used a WhatsApp group chat to discuss the project and organise the days when different members would be available to carry out the experiments, as daily laboratory attendance was required for the growth and disc diffusion assay experiments. In addition, all experimental procedures were documented in the group laboratory notebook and the online </w:t>
            </w:r>
            <w:proofErr w:type="spellStart"/>
            <w:r>
              <w:rPr>
                <w:rFonts w:ascii="Arial" w:eastAsia="Arial" w:hAnsi="Arial" w:cs="Arial"/>
              </w:rPr>
              <w:t>Benchling</w:t>
            </w:r>
            <w:proofErr w:type="spellEnd"/>
            <w:r>
              <w:rPr>
                <w:rFonts w:ascii="Arial" w:eastAsia="Arial" w:hAnsi="Arial" w:cs="Arial"/>
              </w:rPr>
              <w:t xml:space="preserve"> notebook was also used, which can be quite difficult to navigate at times, and so we therefore had a paper notebook in the lab and an online notebook to share what had been done.</w:t>
            </w:r>
          </w:p>
          <w:p w14:paraId="46F5CD77" w14:textId="77777777" w:rsidR="00814DF0" w:rsidRDefault="003E40A1">
            <w:pPr>
              <w:ind w:right="-330"/>
              <w:rPr>
                <w:rFonts w:ascii="Arial" w:eastAsia="Arial" w:hAnsi="Arial" w:cs="Arial"/>
              </w:rPr>
            </w:pPr>
            <w:r>
              <w:rPr>
                <w:rFonts w:ascii="Arial" w:eastAsia="Arial" w:hAnsi="Arial" w:cs="Arial"/>
              </w:rPr>
              <w:t>The problems that have occurred were mainly due to the limitations of the experimental procedures and the fact that we have been working with environmental samples that we have no previous knowledge of, so each new piece of information we find out about them is a new discovery.  Within our project we have considered limitations of the methods used and have suggested different strategies and methods that could be used for future work.</w:t>
            </w:r>
          </w:p>
        </w:tc>
      </w:tr>
      <w:tr w:rsidR="00814DF0" w14:paraId="1F85F558" w14:textId="77777777">
        <w:tc>
          <w:tcPr>
            <w:tcW w:w="10060" w:type="dxa"/>
          </w:tcPr>
          <w:p w14:paraId="259A2B4F" w14:textId="77777777" w:rsidR="00814DF0" w:rsidRDefault="003E40A1">
            <w:pPr>
              <w:ind w:right="-330"/>
              <w:rPr>
                <w:rFonts w:ascii="Arial" w:eastAsia="Arial" w:hAnsi="Arial" w:cs="Arial"/>
                <w:b/>
                <w:i/>
              </w:rPr>
            </w:pPr>
            <w:r>
              <w:rPr>
                <w:rFonts w:ascii="Arial" w:eastAsia="Arial" w:hAnsi="Arial" w:cs="Arial"/>
                <w:b/>
                <w:i/>
              </w:rPr>
              <w:t xml:space="preserve">References </w:t>
            </w:r>
          </w:p>
          <w:p w14:paraId="267C323E" w14:textId="77777777" w:rsidR="00814DF0" w:rsidRDefault="00814DF0">
            <w:pPr>
              <w:pStyle w:val="Heading1"/>
              <w:keepNext w:val="0"/>
              <w:keepLines w:val="0"/>
              <w:outlineLvl w:val="0"/>
              <w:rPr>
                <w:rFonts w:ascii="Arial" w:eastAsia="Arial" w:hAnsi="Arial" w:cs="Arial"/>
                <w:b w:val="0"/>
                <w:color w:val="000000"/>
                <w:sz w:val="22"/>
                <w:szCs w:val="22"/>
              </w:rPr>
            </w:pPr>
            <w:bookmarkStart w:id="2" w:name="_heading=h.agjtzdo3kfw2" w:colFirst="0" w:colLast="0"/>
            <w:bookmarkEnd w:id="2"/>
          </w:p>
          <w:p w14:paraId="05A04560" w14:textId="77777777" w:rsidR="00814DF0" w:rsidRDefault="003E40A1">
            <w:pPr>
              <w:rPr>
                <w:rFonts w:ascii="Arial" w:eastAsia="Arial" w:hAnsi="Arial" w:cs="Arial"/>
                <w:color w:val="000000"/>
                <w:u w:val="single"/>
              </w:rPr>
            </w:pPr>
            <w:proofErr w:type="spellStart"/>
            <w:r>
              <w:rPr>
                <w:rFonts w:ascii="Arial" w:eastAsia="Arial" w:hAnsi="Arial" w:cs="Arial"/>
                <w:color w:val="000000"/>
              </w:rPr>
              <w:t>Elmahdi</w:t>
            </w:r>
            <w:proofErr w:type="spellEnd"/>
            <w:r>
              <w:rPr>
                <w:rFonts w:ascii="Arial" w:eastAsia="Arial" w:hAnsi="Arial" w:cs="Arial"/>
                <w:color w:val="000000"/>
              </w:rPr>
              <w:t xml:space="preserve">, S., DaSilva, L.V and </w:t>
            </w:r>
            <w:proofErr w:type="spellStart"/>
            <w:r>
              <w:rPr>
                <w:rFonts w:ascii="Arial" w:eastAsia="Arial" w:hAnsi="Arial" w:cs="Arial"/>
                <w:color w:val="000000"/>
              </w:rPr>
              <w:t>Parveen</w:t>
            </w:r>
            <w:proofErr w:type="spellEnd"/>
            <w:r>
              <w:rPr>
                <w:rFonts w:ascii="Arial" w:eastAsia="Arial" w:hAnsi="Arial" w:cs="Arial"/>
                <w:color w:val="000000"/>
              </w:rPr>
              <w:t>, S. (2016). Antibiotic resistance of </w:t>
            </w:r>
            <w:r>
              <w:rPr>
                <w:rFonts w:ascii="Arial" w:eastAsia="Arial" w:hAnsi="Arial" w:cs="Arial"/>
                <w:i/>
                <w:color w:val="000000"/>
              </w:rPr>
              <w:t xml:space="preserve">Vibrio </w:t>
            </w:r>
            <w:proofErr w:type="spellStart"/>
            <w:r>
              <w:rPr>
                <w:rFonts w:ascii="Arial" w:eastAsia="Arial" w:hAnsi="Arial" w:cs="Arial"/>
                <w:i/>
                <w:color w:val="000000"/>
              </w:rPr>
              <w:t>parahaemolyticus</w:t>
            </w:r>
            <w:proofErr w:type="spellEnd"/>
            <w:r>
              <w:rPr>
                <w:rFonts w:ascii="Arial" w:eastAsia="Arial" w:hAnsi="Arial" w:cs="Arial"/>
                <w:color w:val="000000"/>
              </w:rPr>
              <w:t> and </w:t>
            </w:r>
            <w:r>
              <w:rPr>
                <w:rFonts w:ascii="Arial" w:eastAsia="Arial" w:hAnsi="Arial" w:cs="Arial"/>
                <w:i/>
                <w:color w:val="000000"/>
              </w:rPr>
              <w:t xml:space="preserve">Vibrio </w:t>
            </w:r>
            <w:proofErr w:type="spellStart"/>
            <w:r>
              <w:rPr>
                <w:rFonts w:ascii="Arial" w:eastAsia="Arial" w:hAnsi="Arial" w:cs="Arial"/>
                <w:i/>
                <w:color w:val="000000"/>
              </w:rPr>
              <w:t>vulnificus</w:t>
            </w:r>
            <w:proofErr w:type="spellEnd"/>
            <w:r>
              <w:rPr>
                <w:rFonts w:ascii="Arial" w:eastAsia="Arial" w:hAnsi="Arial" w:cs="Arial"/>
                <w:color w:val="000000"/>
              </w:rPr>
              <w:t xml:space="preserve"> in various countries: A review. Food Microbiology. Vol 57:128-134.  Available at: </w:t>
            </w:r>
            <w:hyperlink r:id="rId17">
              <w:r>
                <w:rPr>
                  <w:rFonts w:ascii="Arial" w:eastAsia="Arial" w:hAnsi="Arial" w:cs="Arial"/>
                  <w:color w:val="000000"/>
                  <w:u w:val="single"/>
                </w:rPr>
                <w:t>https://www.sciencedirect.com/science/article/pii/S0740002016000228</w:t>
              </w:r>
            </w:hyperlink>
          </w:p>
          <w:p w14:paraId="709226F9" w14:textId="77777777" w:rsidR="00A619A6" w:rsidRDefault="00A619A6">
            <w:pPr>
              <w:rPr>
                <w:rFonts w:ascii="Arial" w:eastAsia="Arial" w:hAnsi="Arial" w:cs="Arial"/>
                <w:color w:val="000000"/>
              </w:rPr>
            </w:pPr>
          </w:p>
          <w:p w14:paraId="31EE1A04" w14:textId="77777777" w:rsidR="00814DF0" w:rsidRDefault="003E40A1">
            <w:pPr>
              <w:rPr>
                <w:rFonts w:ascii="Arial" w:eastAsia="Arial" w:hAnsi="Arial" w:cs="Arial"/>
                <w:color w:val="000000"/>
                <w:sz w:val="21"/>
                <w:szCs w:val="21"/>
                <w:u w:val="single"/>
              </w:rPr>
            </w:pPr>
            <w:r>
              <w:rPr>
                <w:rFonts w:ascii="Arial" w:eastAsia="Arial" w:hAnsi="Arial" w:cs="Arial"/>
                <w:color w:val="000000"/>
                <w:sz w:val="21"/>
                <w:szCs w:val="21"/>
                <w:highlight w:val="white"/>
              </w:rPr>
              <w:t xml:space="preserve">Joint, </w:t>
            </w:r>
            <w:proofErr w:type="spellStart"/>
            <w:r>
              <w:rPr>
                <w:rFonts w:ascii="Arial" w:eastAsia="Arial" w:hAnsi="Arial" w:cs="Arial"/>
                <w:color w:val="000000"/>
                <w:sz w:val="21"/>
                <w:szCs w:val="21"/>
                <w:highlight w:val="white"/>
              </w:rPr>
              <w:t>I.Mühling</w:t>
            </w:r>
            <w:proofErr w:type="spellEnd"/>
            <w:r>
              <w:rPr>
                <w:rFonts w:ascii="Arial" w:eastAsia="Arial" w:hAnsi="Arial" w:cs="Arial"/>
                <w:color w:val="000000"/>
                <w:sz w:val="21"/>
                <w:szCs w:val="21"/>
                <w:highlight w:val="white"/>
              </w:rPr>
              <w:t xml:space="preserve">, M. and </w:t>
            </w:r>
            <w:proofErr w:type="spellStart"/>
            <w:r>
              <w:rPr>
                <w:rFonts w:ascii="Arial" w:eastAsia="Arial" w:hAnsi="Arial" w:cs="Arial"/>
                <w:color w:val="000000"/>
                <w:sz w:val="21"/>
                <w:szCs w:val="21"/>
                <w:highlight w:val="white"/>
              </w:rPr>
              <w:t>Querellou</w:t>
            </w:r>
            <w:proofErr w:type="spellEnd"/>
            <w:r>
              <w:rPr>
                <w:rFonts w:ascii="Arial" w:eastAsia="Arial" w:hAnsi="Arial" w:cs="Arial"/>
                <w:color w:val="000000"/>
                <w:sz w:val="21"/>
                <w:szCs w:val="21"/>
                <w:highlight w:val="white"/>
              </w:rPr>
              <w:t xml:space="preserve">, J. (2010), Culturing marine bacteria – an essential prerequisite for </w:t>
            </w:r>
            <w:proofErr w:type="spellStart"/>
            <w:r>
              <w:rPr>
                <w:rFonts w:ascii="Arial" w:eastAsia="Arial" w:hAnsi="Arial" w:cs="Arial"/>
                <w:color w:val="000000"/>
                <w:sz w:val="21"/>
                <w:szCs w:val="21"/>
                <w:highlight w:val="white"/>
              </w:rPr>
              <w:t>biodiscovery</w:t>
            </w:r>
            <w:proofErr w:type="spellEnd"/>
            <w:r>
              <w:rPr>
                <w:rFonts w:ascii="Arial" w:eastAsia="Arial" w:hAnsi="Arial" w:cs="Arial"/>
                <w:color w:val="000000"/>
                <w:sz w:val="21"/>
                <w:szCs w:val="21"/>
                <w:highlight w:val="white"/>
              </w:rPr>
              <w:t>. Microbial Biotechnology, Vol 3: 564-575. Available at:</w:t>
            </w:r>
            <w:hyperlink r:id="rId18">
              <w:r>
                <w:rPr>
                  <w:rFonts w:ascii="Arial" w:eastAsia="Arial" w:hAnsi="Arial" w:cs="Arial"/>
                  <w:color w:val="000000"/>
                  <w:sz w:val="21"/>
                  <w:szCs w:val="21"/>
                  <w:highlight w:val="white"/>
                  <w:u w:val="single"/>
                </w:rPr>
                <w:t>https://onlinelibrary.wiley.com/doi/full/10.1111/j.1751-7915.2010.00188.x</w:t>
              </w:r>
            </w:hyperlink>
          </w:p>
          <w:p w14:paraId="1668D32A" w14:textId="77777777" w:rsidR="00A619A6" w:rsidRDefault="00A619A6">
            <w:pPr>
              <w:rPr>
                <w:rFonts w:ascii="Arial" w:eastAsia="Arial" w:hAnsi="Arial" w:cs="Arial"/>
                <w:color w:val="000000"/>
              </w:rPr>
            </w:pPr>
          </w:p>
          <w:p w14:paraId="4E799F37" w14:textId="77777777" w:rsidR="00814DF0" w:rsidRDefault="003E40A1">
            <w:pPr>
              <w:rPr>
                <w:rFonts w:ascii="Arial" w:eastAsia="Arial" w:hAnsi="Arial" w:cs="Arial"/>
                <w:color w:val="000000"/>
                <w:u w:val="single"/>
              </w:rPr>
            </w:pPr>
            <w:proofErr w:type="spellStart"/>
            <w:r>
              <w:rPr>
                <w:rFonts w:ascii="Arial" w:eastAsia="Arial" w:hAnsi="Arial" w:cs="Arial"/>
                <w:color w:val="000000"/>
              </w:rPr>
              <w:t>Kirsteina</w:t>
            </w:r>
            <w:proofErr w:type="spellEnd"/>
            <w:r>
              <w:rPr>
                <w:rFonts w:ascii="Arial" w:eastAsia="Arial" w:hAnsi="Arial" w:cs="Arial"/>
                <w:color w:val="000000"/>
              </w:rPr>
              <w:t xml:space="preserve">, I.V., </w:t>
            </w:r>
            <w:proofErr w:type="spellStart"/>
            <w:r>
              <w:rPr>
                <w:rFonts w:ascii="Arial" w:eastAsia="Arial" w:hAnsi="Arial" w:cs="Arial"/>
                <w:color w:val="000000"/>
              </w:rPr>
              <w:t>Kirmizia</w:t>
            </w:r>
            <w:proofErr w:type="spellEnd"/>
            <w:r>
              <w:rPr>
                <w:rFonts w:ascii="Arial" w:eastAsia="Arial" w:hAnsi="Arial" w:cs="Arial"/>
                <w:color w:val="000000"/>
              </w:rPr>
              <w:t xml:space="preserve">, S., </w:t>
            </w:r>
            <w:proofErr w:type="spellStart"/>
            <w:r>
              <w:rPr>
                <w:rFonts w:ascii="Arial" w:eastAsia="Arial" w:hAnsi="Arial" w:cs="Arial"/>
                <w:color w:val="000000"/>
              </w:rPr>
              <w:t>Wichelsa</w:t>
            </w:r>
            <w:proofErr w:type="spellEnd"/>
            <w:r>
              <w:rPr>
                <w:rFonts w:ascii="Arial" w:eastAsia="Arial" w:hAnsi="Arial" w:cs="Arial"/>
                <w:color w:val="000000"/>
              </w:rPr>
              <w:t xml:space="preserve">, A., </w:t>
            </w:r>
            <w:proofErr w:type="spellStart"/>
            <w:r>
              <w:rPr>
                <w:rFonts w:ascii="Arial" w:eastAsia="Arial" w:hAnsi="Arial" w:cs="Arial"/>
                <w:color w:val="000000"/>
              </w:rPr>
              <w:t>Garin-Fernandeza</w:t>
            </w:r>
            <w:proofErr w:type="spellEnd"/>
            <w:r>
              <w:rPr>
                <w:rFonts w:ascii="Arial" w:eastAsia="Arial" w:hAnsi="Arial" w:cs="Arial"/>
                <w:color w:val="000000"/>
              </w:rPr>
              <w:t xml:space="preserve">, A., </w:t>
            </w:r>
            <w:proofErr w:type="spellStart"/>
            <w:r>
              <w:rPr>
                <w:rFonts w:ascii="Arial" w:eastAsia="Arial" w:hAnsi="Arial" w:cs="Arial"/>
                <w:color w:val="000000"/>
              </w:rPr>
              <w:t>Erlera</w:t>
            </w:r>
            <w:proofErr w:type="spellEnd"/>
            <w:r>
              <w:rPr>
                <w:rFonts w:ascii="Arial" w:eastAsia="Arial" w:hAnsi="Arial" w:cs="Arial"/>
                <w:color w:val="000000"/>
              </w:rPr>
              <w:t xml:space="preserve">, R., </w:t>
            </w:r>
            <w:proofErr w:type="spellStart"/>
            <w:r>
              <w:rPr>
                <w:rFonts w:ascii="Arial" w:eastAsia="Arial" w:hAnsi="Arial" w:cs="Arial"/>
                <w:color w:val="000000"/>
              </w:rPr>
              <w:t>Löder</w:t>
            </w:r>
            <w:proofErr w:type="spellEnd"/>
            <w:r>
              <w:rPr>
                <w:rFonts w:ascii="Arial" w:eastAsia="Arial" w:hAnsi="Arial" w:cs="Arial"/>
                <w:color w:val="000000"/>
              </w:rPr>
              <w:t xml:space="preserve">, M., and </w:t>
            </w:r>
            <w:proofErr w:type="spellStart"/>
            <w:r>
              <w:rPr>
                <w:rFonts w:ascii="Arial" w:eastAsia="Arial" w:hAnsi="Arial" w:cs="Arial"/>
                <w:color w:val="000000"/>
              </w:rPr>
              <w:t>Gerdtsa</w:t>
            </w:r>
            <w:proofErr w:type="spellEnd"/>
            <w:r>
              <w:rPr>
                <w:rFonts w:ascii="Arial" w:eastAsia="Arial" w:hAnsi="Arial" w:cs="Arial"/>
                <w:color w:val="000000"/>
              </w:rPr>
              <w:t xml:space="preserve">, G. (2016). Dangerous hitchhikers? Evidence for potentially pathogenic </w:t>
            </w:r>
            <w:r>
              <w:rPr>
                <w:rFonts w:ascii="Arial" w:eastAsia="Arial" w:hAnsi="Arial" w:cs="Arial"/>
                <w:i/>
                <w:color w:val="000000"/>
              </w:rPr>
              <w:t>Vibrio</w:t>
            </w:r>
            <w:r>
              <w:rPr>
                <w:rFonts w:ascii="Arial" w:eastAsia="Arial" w:hAnsi="Arial" w:cs="Arial"/>
                <w:color w:val="000000"/>
              </w:rPr>
              <w:t xml:space="preserve"> spp. on </w:t>
            </w:r>
            <w:proofErr w:type="spellStart"/>
            <w:r>
              <w:rPr>
                <w:rFonts w:ascii="Arial" w:eastAsia="Arial" w:hAnsi="Arial" w:cs="Arial"/>
                <w:color w:val="000000"/>
              </w:rPr>
              <w:t>microplastic</w:t>
            </w:r>
            <w:proofErr w:type="spellEnd"/>
            <w:r>
              <w:rPr>
                <w:rFonts w:ascii="Arial" w:eastAsia="Arial" w:hAnsi="Arial" w:cs="Arial"/>
                <w:color w:val="000000"/>
              </w:rPr>
              <w:t xml:space="preserve"> particles (2016). Marine Environmental Research Vol 120: 1-8. Available at: </w:t>
            </w:r>
            <w:hyperlink r:id="rId19">
              <w:r>
                <w:rPr>
                  <w:rFonts w:ascii="Arial" w:eastAsia="Arial" w:hAnsi="Arial" w:cs="Arial"/>
                  <w:color w:val="000000"/>
                  <w:u w:val="single"/>
                </w:rPr>
                <w:t>https://www.sciencedirect.com/science/article/pii/S014111361630112X?via%3Dihub</w:t>
              </w:r>
            </w:hyperlink>
          </w:p>
          <w:p w14:paraId="2ADDDA39" w14:textId="77777777" w:rsidR="00A619A6" w:rsidRDefault="00A619A6">
            <w:pPr>
              <w:rPr>
                <w:rFonts w:ascii="Arial" w:eastAsia="Arial" w:hAnsi="Arial" w:cs="Arial"/>
                <w:color w:val="000000"/>
              </w:rPr>
            </w:pPr>
          </w:p>
          <w:p w14:paraId="1C097CFF" w14:textId="77777777" w:rsidR="00814DF0" w:rsidRDefault="003E40A1">
            <w:pPr>
              <w:rPr>
                <w:rFonts w:ascii="Arial" w:eastAsia="Arial" w:hAnsi="Arial" w:cs="Arial"/>
                <w:color w:val="000000"/>
                <w:u w:val="single"/>
              </w:rPr>
            </w:pPr>
            <w:r>
              <w:rPr>
                <w:rFonts w:ascii="Arial" w:eastAsia="Arial" w:hAnsi="Arial" w:cs="Arial"/>
                <w:color w:val="000000"/>
              </w:rPr>
              <w:t xml:space="preserve">Guillen, J., </w:t>
            </w:r>
            <w:proofErr w:type="spellStart"/>
            <w:r>
              <w:rPr>
                <w:rFonts w:ascii="Arial" w:eastAsia="Arial" w:hAnsi="Arial" w:cs="Arial"/>
                <w:color w:val="000000"/>
              </w:rPr>
              <w:t>Natale</w:t>
            </w:r>
            <w:proofErr w:type="spellEnd"/>
            <w:r>
              <w:rPr>
                <w:rFonts w:ascii="Arial" w:eastAsia="Arial" w:hAnsi="Arial" w:cs="Arial"/>
                <w:color w:val="000000"/>
              </w:rPr>
              <w:t xml:space="preserve">, F., </w:t>
            </w:r>
            <w:proofErr w:type="spellStart"/>
            <w:r>
              <w:rPr>
                <w:rFonts w:ascii="Arial" w:eastAsia="Arial" w:hAnsi="Arial" w:cs="Arial"/>
                <w:color w:val="000000"/>
              </w:rPr>
              <w:t>Carvalho</w:t>
            </w:r>
            <w:proofErr w:type="spellEnd"/>
            <w:r>
              <w:rPr>
                <w:rFonts w:ascii="Arial" w:eastAsia="Arial" w:hAnsi="Arial" w:cs="Arial"/>
                <w:color w:val="000000"/>
              </w:rPr>
              <w:t xml:space="preserve">, N., Casey, J., </w:t>
            </w:r>
            <w:proofErr w:type="spellStart"/>
            <w:r>
              <w:rPr>
                <w:rFonts w:ascii="Arial" w:eastAsia="Arial" w:hAnsi="Arial" w:cs="Arial"/>
                <w:color w:val="000000"/>
              </w:rPr>
              <w:t>Hofherr</w:t>
            </w:r>
            <w:proofErr w:type="spellEnd"/>
            <w:r>
              <w:rPr>
                <w:rFonts w:ascii="Arial" w:eastAsia="Arial" w:hAnsi="Arial" w:cs="Arial"/>
                <w:color w:val="000000"/>
              </w:rPr>
              <w:t xml:space="preserve">, J., </w:t>
            </w:r>
            <w:proofErr w:type="spellStart"/>
            <w:r>
              <w:rPr>
                <w:rFonts w:ascii="Arial" w:eastAsia="Arial" w:hAnsi="Arial" w:cs="Arial"/>
                <w:color w:val="000000"/>
              </w:rPr>
              <w:t>Druon</w:t>
            </w:r>
            <w:proofErr w:type="spellEnd"/>
            <w:r>
              <w:rPr>
                <w:rFonts w:ascii="Arial" w:eastAsia="Arial" w:hAnsi="Arial" w:cs="Arial"/>
                <w:color w:val="000000"/>
              </w:rPr>
              <w:t xml:space="preserve">, J., Fiore, G., </w:t>
            </w:r>
            <w:proofErr w:type="spellStart"/>
            <w:r>
              <w:rPr>
                <w:rFonts w:ascii="Arial" w:eastAsia="Arial" w:hAnsi="Arial" w:cs="Arial"/>
                <w:color w:val="000000"/>
              </w:rPr>
              <w:t>Gibin</w:t>
            </w:r>
            <w:proofErr w:type="spellEnd"/>
            <w:r>
              <w:rPr>
                <w:rFonts w:ascii="Arial" w:eastAsia="Arial" w:hAnsi="Arial" w:cs="Arial"/>
                <w:color w:val="000000"/>
              </w:rPr>
              <w:t xml:space="preserve">, M., </w:t>
            </w:r>
            <w:proofErr w:type="spellStart"/>
            <w:r>
              <w:rPr>
                <w:rFonts w:ascii="Arial" w:eastAsia="Arial" w:hAnsi="Arial" w:cs="Arial"/>
                <w:color w:val="000000"/>
              </w:rPr>
              <w:t>Zanzi</w:t>
            </w:r>
            <w:proofErr w:type="spellEnd"/>
            <w:r>
              <w:rPr>
                <w:rFonts w:ascii="Arial" w:eastAsia="Arial" w:hAnsi="Arial" w:cs="Arial"/>
                <w:color w:val="000000"/>
              </w:rPr>
              <w:t xml:space="preserve">, A., and </w:t>
            </w:r>
            <w:proofErr w:type="spellStart"/>
            <w:r>
              <w:rPr>
                <w:rFonts w:ascii="Arial" w:eastAsia="Arial" w:hAnsi="Arial" w:cs="Arial"/>
                <w:color w:val="000000"/>
              </w:rPr>
              <w:t>Martinsohn</w:t>
            </w:r>
            <w:proofErr w:type="spellEnd"/>
            <w:r>
              <w:rPr>
                <w:rFonts w:ascii="Arial" w:eastAsia="Arial" w:hAnsi="Arial" w:cs="Arial"/>
                <w:color w:val="000000"/>
              </w:rPr>
              <w:t xml:space="preserve">, J.T (2018). Global seafood consumption footprint. </w:t>
            </w:r>
            <w:proofErr w:type="spellStart"/>
            <w:r>
              <w:rPr>
                <w:rFonts w:ascii="Arial" w:eastAsia="Arial" w:hAnsi="Arial" w:cs="Arial"/>
                <w:color w:val="000000"/>
              </w:rPr>
              <w:t>Ambio</w:t>
            </w:r>
            <w:proofErr w:type="spellEnd"/>
            <w:r>
              <w:rPr>
                <w:rFonts w:ascii="Arial" w:eastAsia="Arial" w:hAnsi="Arial" w:cs="Arial"/>
                <w:color w:val="000000"/>
              </w:rPr>
              <w:t xml:space="preserve"> (2018). Pages 1-12. Available at: </w:t>
            </w:r>
            <w:hyperlink r:id="rId20">
              <w:r>
                <w:rPr>
                  <w:rFonts w:ascii="Arial" w:eastAsia="Arial" w:hAnsi="Arial" w:cs="Arial"/>
                  <w:color w:val="000000"/>
                  <w:u w:val="single"/>
                </w:rPr>
                <w:t>https://link.springer.com/article/10.1007/s13280-018-1060-9</w:t>
              </w:r>
            </w:hyperlink>
          </w:p>
          <w:p w14:paraId="330D16A2" w14:textId="77777777" w:rsidR="00A619A6" w:rsidRDefault="00A619A6">
            <w:pPr>
              <w:rPr>
                <w:rFonts w:ascii="Arial" w:eastAsia="Arial" w:hAnsi="Arial" w:cs="Arial"/>
                <w:color w:val="000000"/>
              </w:rPr>
            </w:pPr>
          </w:p>
          <w:p w14:paraId="182A1015" w14:textId="77777777" w:rsidR="00814DF0" w:rsidRDefault="003E40A1">
            <w:pPr>
              <w:rPr>
                <w:rFonts w:ascii="Arial" w:eastAsia="Arial" w:hAnsi="Arial" w:cs="Arial"/>
                <w:color w:val="000000"/>
                <w:u w:val="single"/>
              </w:rPr>
            </w:pPr>
            <w:r>
              <w:rPr>
                <w:rFonts w:ascii="Arial" w:eastAsia="Arial" w:hAnsi="Arial" w:cs="Arial"/>
                <w:color w:val="000000"/>
              </w:rPr>
              <w:t>Martinez-</w:t>
            </w:r>
            <w:proofErr w:type="spellStart"/>
            <w:r>
              <w:rPr>
                <w:rFonts w:ascii="Arial" w:eastAsia="Arial" w:hAnsi="Arial" w:cs="Arial"/>
                <w:color w:val="000000"/>
              </w:rPr>
              <w:t>Urtaza</w:t>
            </w:r>
            <w:proofErr w:type="spellEnd"/>
            <w:r>
              <w:rPr>
                <w:rFonts w:ascii="Arial" w:eastAsia="Arial" w:hAnsi="Arial" w:cs="Arial"/>
                <w:color w:val="000000"/>
              </w:rPr>
              <w:t xml:space="preserve"> J, </w:t>
            </w:r>
            <w:proofErr w:type="spellStart"/>
            <w:r>
              <w:rPr>
                <w:rFonts w:ascii="Arial" w:eastAsia="Arial" w:hAnsi="Arial" w:cs="Arial"/>
                <w:color w:val="000000"/>
              </w:rPr>
              <w:t>Trinanes</w:t>
            </w:r>
            <w:proofErr w:type="spellEnd"/>
            <w:r>
              <w:rPr>
                <w:rFonts w:ascii="Arial" w:eastAsia="Arial" w:hAnsi="Arial" w:cs="Arial"/>
                <w:color w:val="000000"/>
              </w:rPr>
              <w:t xml:space="preserve"> J, </w:t>
            </w:r>
            <w:proofErr w:type="spellStart"/>
            <w:r>
              <w:rPr>
                <w:rFonts w:ascii="Arial" w:eastAsia="Arial" w:hAnsi="Arial" w:cs="Arial"/>
                <w:color w:val="000000"/>
              </w:rPr>
              <w:t>Abanto</w:t>
            </w:r>
            <w:proofErr w:type="spellEnd"/>
            <w:r>
              <w:rPr>
                <w:rFonts w:ascii="Arial" w:eastAsia="Arial" w:hAnsi="Arial" w:cs="Arial"/>
                <w:color w:val="000000"/>
              </w:rPr>
              <w:t xml:space="preserve"> M, Lozano-Leon A, </w:t>
            </w:r>
            <w:proofErr w:type="spellStart"/>
            <w:r>
              <w:rPr>
                <w:rFonts w:ascii="Arial" w:eastAsia="Arial" w:hAnsi="Arial" w:cs="Arial"/>
                <w:color w:val="000000"/>
              </w:rPr>
              <w:t>Llovo-Taboada</w:t>
            </w:r>
            <w:proofErr w:type="spellEnd"/>
            <w:r>
              <w:rPr>
                <w:rFonts w:ascii="Arial" w:eastAsia="Arial" w:hAnsi="Arial" w:cs="Arial"/>
                <w:color w:val="000000"/>
              </w:rPr>
              <w:t xml:space="preserve"> J, Garcia-</w:t>
            </w:r>
            <w:proofErr w:type="spellStart"/>
            <w:r>
              <w:rPr>
                <w:rFonts w:ascii="Arial" w:eastAsia="Arial" w:hAnsi="Arial" w:cs="Arial"/>
                <w:color w:val="000000"/>
              </w:rPr>
              <w:t>Campello</w:t>
            </w:r>
            <w:proofErr w:type="spellEnd"/>
            <w:r>
              <w:rPr>
                <w:rFonts w:ascii="Arial" w:eastAsia="Arial" w:hAnsi="Arial" w:cs="Arial"/>
                <w:color w:val="000000"/>
              </w:rPr>
              <w:t xml:space="preserve"> M. (2018). Epidemic Dynamics of Vibrio </w:t>
            </w:r>
            <w:proofErr w:type="spellStart"/>
            <w:r>
              <w:rPr>
                <w:rFonts w:ascii="Arial" w:eastAsia="Arial" w:hAnsi="Arial" w:cs="Arial"/>
                <w:color w:val="000000"/>
              </w:rPr>
              <w:t>parahaemolyticus</w:t>
            </w:r>
            <w:proofErr w:type="spellEnd"/>
            <w:r>
              <w:rPr>
                <w:rFonts w:ascii="Arial" w:eastAsia="Arial" w:hAnsi="Arial" w:cs="Arial"/>
                <w:color w:val="000000"/>
              </w:rPr>
              <w:t xml:space="preserve"> Illness in a Hotspot of Disease Emergence, Galicia, Spain. </w:t>
            </w:r>
            <w:proofErr w:type="spellStart"/>
            <w:r>
              <w:rPr>
                <w:rFonts w:ascii="Arial" w:eastAsia="Arial" w:hAnsi="Arial" w:cs="Arial"/>
                <w:color w:val="000000"/>
              </w:rPr>
              <w:t>Emerg</w:t>
            </w:r>
            <w:proofErr w:type="spellEnd"/>
            <w:r>
              <w:rPr>
                <w:rFonts w:ascii="Arial" w:eastAsia="Arial" w:hAnsi="Arial" w:cs="Arial"/>
                <w:color w:val="000000"/>
              </w:rPr>
              <w:t xml:space="preserve"> Infect </w:t>
            </w:r>
            <w:proofErr w:type="spellStart"/>
            <w:r>
              <w:rPr>
                <w:rFonts w:ascii="Arial" w:eastAsia="Arial" w:hAnsi="Arial" w:cs="Arial"/>
                <w:color w:val="000000"/>
              </w:rPr>
              <w:t>Dis.Vol</w:t>
            </w:r>
            <w:proofErr w:type="spellEnd"/>
            <w:r>
              <w:rPr>
                <w:rFonts w:ascii="Arial" w:eastAsia="Arial" w:hAnsi="Arial" w:cs="Arial"/>
                <w:color w:val="000000"/>
              </w:rPr>
              <w:t xml:space="preserve"> 24(5):852-859. Available at: </w:t>
            </w:r>
            <w:hyperlink r:id="rId21">
              <w:r>
                <w:rPr>
                  <w:rFonts w:ascii="Arial" w:eastAsia="Arial" w:hAnsi="Arial" w:cs="Arial"/>
                  <w:color w:val="000000"/>
                  <w:u w:val="single"/>
                </w:rPr>
                <w:t>https://dx.doi.org/10.3201/eid2405.171700</w:t>
              </w:r>
            </w:hyperlink>
          </w:p>
          <w:p w14:paraId="20B7B732" w14:textId="77777777" w:rsidR="00A619A6" w:rsidRDefault="00A619A6">
            <w:pPr>
              <w:rPr>
                <w:rFonts w:ascii="Arial" w:eastAsia="Arial" w:hAnsi="Arial" w:cs="Arial"/>
                <w:color w:val="000000"/>
              </w:rPr>
            </w:pPr>
          </w:p>
          <w:p w14:paraId="42FBAA2B" w14:textId="77777777" w:rsidR="00814DF0" w:rsidRDefault="003E40A1">
            <w:pPr>
              <w:rPr>
                <w:rFonts w:ascii="Arial" w:eastAsia="Arial" w:hAnsi="Arial" w:cs="Arial"/>
                <w:color w:val="000000"/>
                <w:highlight w:val="white"/>
              </w:rPr>
            </w:pPr>
            <w:proofErr w:type="spellStart"/>
            <w:r>
              <w:rPr>
                <w:rFonts w:ascii="Arial" w:eastAsia="Arial" w:hAnsi="Arial" w:cs="Arial"/>
                <w:color w:val="000000"/>
              </w:rPr>
              <w:t>Soliev</w:t>
            </w:r>
            <w:proofErr w:type="spellEnd"/>
            <w:r>
              <w:rPr>
                <w:rFonts w:ascii="Arial" w:eastAsia="Arial" w:hAnsi="Arial" w:cs="Arial"/>
                <w:color w:val="000000"/>
              </w:rPr>
              <w:t xml:space="preserve">, A.B. </w:t>
            </w:r>
            <w:proofErr w:type="spellStart"/>
            <w:proofErr w:type="gramStart"/>
            <w:r>
              <w:rPr>
                <w:rFonts w:ascii="Arial" w:eastAsia="Arial" w:hAnsi="Arial" w:cs="Arial"/>
                <w:color w:val="000000"/>
              </w:rPr>
              <w:t>Hosokawa,K</w:t>
            </w:r>
            <w:proofErr w:type="spellEnd"/>
            <w:r>
              <w:rPr>
                <w:rFonts w:ascii="Arial" w:eastAsia="Arial" w:hAnsi="Arial" w:cs="Arial"/>
                <w:color w:val="000000"/>
              </w:rPr>
              <w:t>.</w:t>
            </w:r>
            <w:proofErr w:type="gramEnd"/>
            <w:r>
              <w:rPr>
                <w:rFonts w:ascii="Arial" w:eastAsia="Arial" w:hAnsi="Arial" w:cs="Arial"/>
                <w:color w:val="000000"/>
              </w:rPr>
              <w:t xml:space="preserve"> and </w:t>
            </w:r>
            <w:proofErr w:type="spellStart"/>
            <w:r>
              <w:rPr>
                <w:rFonts w:ascii="Arial" w:eastAsia="Arial" w:hAnsi="Arial" w:cs="Arial"/>
                <w:color w:val="000000"/>
              </w:rPr>
              <w:t>Enomoto</w:t>
            </w:r>
            <w:proofErr w:type="spellEnd"/>
            <w:r>
              <w:rPr>
                <w:rFonts w:ascii="Arial" w:eastAsia="Arial" w:hAnsi="Arial" w:cs="Arial"/>
                <w:color w:val="000000"/>
              </w:rPr>
              <w:t xml:space="preserve">, K. (2011). Bioactive Pigments from Marine Bacteria: Applications and Physiological Roles. Evidence-Based Complementary and Alternative </w:t>
            </w:r>
            <w:proofErr w:type="spellStart"/>
            <w:r>
              <w:rPr>
                <w:rFonts w:ascii="Arial" w:eastAsia="Arial" w:hAnsi="Arial" w:cs="Arial"/>
                <w:color w:val="000000"/>
              </w:rPr>
              <w:t>Medicine.</w:t>
            </w:r>
            <w:r>
              <w:rPr>
                <w:rFonts w:ascii="Arial" w:eastAsia="Arial" w:hAnsi="Arial" w:cs="Arial"/>
                <w:color w:val="000000"/>
                <w:highlight w:val="white"/>
              </w:rPr>
              <w:t>Vol</w:t>
            </w:r>
            <w:proofErr w:type="spellEnd"/>
            <w:r>
              <w:rPr>
                <w:rFonts w:ascii="Arial" w:eastAsia="Arial" w:hAnsi="Arial" w:cs="Arial"/>
                <w:color w:val="000000"/>
                <w:highlight w:val="white"/>
              </w:rPr>
              <w:t xml:space="preserve">. 2011, Article ID 670349, 17 pages. Available </w:t>
            </w:r>
            <w:proofErr w:type="spellStart"/>
            <w:r>
              <w:rPr>
                <w:rFonts w:ascii="Arial" w:eastAsia="Arial" w:hAnsi="Arial" w:cs="Arial"/>
                <w:color w:val="000000"/>
                <w:highlight w:val="white"/>
              </w:rPr>
              <w:t>at:</w:t>
            </w:r>
            <w:hyperlink r:id="rId22">
              <w:r>
                <w:rPr>
                  <w:rFonts w:ascii="Arial" w:eastAsia="Arial" w:hAnsi="Arial" w:cs="Arial"/>
                  <w:color w:val="000000"/>
                  <w:highlight w:val="white"/>
                  <w:u w:val="single"/>
                </w:rPr>
                <w:t>https</w:t>
              </w:r>
              <w:proofErr w:type="spellEnd"/>
              <w:r>
                <w:rPr>
                  <w:rFonts w:ascii="Arial" w:eastAsia="Arial" w:hAnsi="Arial" w:cs="Arial"/>
                  <w:color w:val="000000"/>
                  <w:highlight w:val="white"/>
                  <w:u w:val="single"/>
                </w:rPr>
                <w:t>://doi.org/10.1155/2011/670349</w:t>
              </w:r>
            </w:hyperlink>
            <w:r>
              <w:rPr>
                <w:rFonts w:ascii="Arial" w:eastAsia="Arial" w:hAnsi="Arial" w:cs="Arial"/>
                <w:color w:val="000000"/>
                <w:highlight w:val="white"/>
              </w:rPr>
              <w:t>.</w:t>
            </w:r>
          </w:p>
          <w:p w14:paraId="4BBC0584" w14:textId="77777777" w:rsidR="00A619A6" w:rsidRDefault="00A619A6">
            <w:pPr>
              <w:rPr>
                <w:rFonts w:ascii="Arial" w:eastAsia="Arial" w:hAnsi="Arial" w:cs="Arial"/>
                <w:color w:val="000000"/>
                <w:highlight w:val="white"/>
              </w:rPr>
            </w:pPr>
          </w:p>
          <w:p w14:paraId="072C8740" w14:textId="77777777" w:rsidR="00814DF0" w:rsidRDefault="003E40A1">
            <w:pPr>
              <w:rPr>
                <w:rFonts w:ascii="Roboto" w:eastAsia="Roboto" w:hAnsi="Roboto" w:cs="Roboto"/>
                <w:color w:val="000000"/>
                <w:sz w:val="20"/>
                <w:szCs w:val="20"/>
                <w:u w:val="single"/>
              </w:rPr>
            </w:pPr>
            <w:proofErr w:type="spellStart"/>
            <w:r>
              <w:rPr>
                <w:rFonts w:ascii="Arial" w:eastAsia="Arial" w:hAnsi="Arial" w:cs="Arial"/>
                <w:color w:val="000000"/>
                <w:highlight w:val="white"/>
              </w:rPr>
              <w:t>Wietz</w:t>
            </w:r>
            <w:proofErr w:type="spellEnd"/>
            <w:r>
              <w:rPr>
                <w:rFonts w:ascii="Arial" w:eastAsia="Arial" w:hAnsi="Arial" w:cs="Arial"/>
                <w:color w:val="000000"/>
                <w:highlight w:val="white"/>
              </w:rPr>
              <w:t xml:space="preserve">, Matthias &amp; Duncan, Katherine &amp; </w:t>
            </w:r>
            <w:proofErr w:type="spellStart"/>
            <w:r>
              <w:rPr>
                <w:rFonts w:ascii="Arial" w:eastAsia="Arial" w:hAnsi="Arial" w:cs="Arial"/>
                <w:color w:val="000000"/>
                <w:highlight w:val="white"/>
              </w:rPr>
              <w:t>Patin</w:t>
            </w:r>
            <w:proofErr w:type="spellEnd"/>
            <w:r>
              <w:rPr>
                <w:rFonts w:ascii="Arial" w:eastAsia="Arial" w:hAnsi="Arial" w:cs="Arial"/>
                <w:color w:val="000000"/>
                <w:highlight w:val="white"/>
              </w:rPr>
              <w:t xml:space="preserve">, </w:t>
            </w:r>
            <w:proofErr w:type="spellStart"/>
            <w:r>
              <w:rPr>
                <w:rFonts w:ascii="Arial" w:eastAsia="Arial" w:hAnsi="Arial" w:cs="Arial"/>
                <w:color w:val="000000"/>
                <w:highlight w:val="white"/>
              </w:rPr>
              <w:t>Nastassia</w:t>
            </w:r>
            <w:proofErr w:type="spellEnd"/>
            <w:r>
              <w:rPr>
                <w:rFonts w:ascii="Arial" w:eastAsia="Arial" w:hAnsi="Arial" w:cs="Arial"/>
                <w:color w:val="000000"/>
                <w:highlight w:val="white"/>
              </w:rPr>
              <w:t xml:space="preserve"> &amp; Jensen, Paul. (2013). Antagonistic Interactions Mediated by Marine Bacteria: The Role of Small Molecules. Journal of Chemical Ecology. Vol 9. 879–891. </w:t>
            </w:r>
            <w:r w:rsidRPr="00A619A6">
              <w:rPr>
                <w:rFonts w:ascii="Arial" w:eastAsia="Arial" w:hAnsi="Arial" w:cs="Arial"/>
                <w:color w:val="000000"/>
                <w:highlight w:val="white"/>
              </w:rPr>
              <w:t xml:space="preserve">Available at: </w:t>
            </w:r>
            <w:hyperlink r:id="rId23">
              <w:r w:rsidRPr="00A619A6">
                <w:rPr>
                  <w:rFonts w:ascii="Arial" w:eastAsia="Roboto" w:hAnsi="Arial" w:cs="Arial"/>
                  <w:color w:val="000000"/>
                  <w:sz w:val="20"/>
                  <w:szCs w:val="20"/>
                  <w:highlight w:val="white"/>
                  <w:u w:val="single"/>
                </w:rPr>
                <w:t>https://doi.org/10.1007/s10886-013-0316-x</w:t>
              </w:r>
            </w:hyperlink>
          </w:p>
          <w:p w14:paraId="524D641C" w14:textId="77777777" w:rsidR="00A619A6" w:rsidRDefault="00A619A6">
            <w:pPr>
              <w:rPr>
                <w:rFonts w:ascii="Arial" w:eastAsia="Arial" w:hAnsi="Arial" w:cs="Arial"/>
                <w:color w:val="000000"/>
              </w:rPr>
            </w:pPr>
          </w:p>
          <w:p w14:paraId="7E067968" w14:textId="77777777" w:rsidR="00814DF0" w:rsidRDefault="003E40A1">
            <w:pPr>
              <w:rPr>
                <w:rFonts w:ascii="Arial" w:eastAsia="Arial" w:hAnsi="Arial" w:cs="Arial"/>
                <w:color w:val="000000"/>
              </w:rPr>
            </w:pPr>
            <w:proofErr w:type="spellStart"/>
            <w:r>
              <w:rPr>
                <w:rFonts w:ascii="Arial" w:eastAsia="Arial" w:hAnsi="Arial" w:cs="Arial"/>
                <w:color w:val="000000"/>
              </w:rPr>
              <w:t>Zotchev</w:t>
            </w:r>
            <w:proofErr w:type="spellEnd"/>
            <w:r>
              <w:rPr>
                <w:rFonts w:ascii="Arial" w:eastAsia="Arial" w:hAnsi="Arial" w:cs="Arial"/>
                <w:color w:val="000000"/>
              </w:rPr>
              <w:t xml:space="preserve">, S.B. </w:t>
            </w:r>
            <w:proofErr w:type="spellStart"/>
            <w:r>
              <w:rPr>
                <w:rFonts w:ascii="Arial" w:eastAsia="Arial" w:hAnsi="Arial" w:cs="Arial"/>
                <w:color w:val="000000"/>
              </w:rPr>
              <w:t>Sekurova</w:t>
            </w:r>
            <w:proofErr w:type="spellEnd"/>
            <w:r>
              <w:rPr>
                <w:rFonts w:ascii="Arial" w:eastAsia="Arial" w:hAnsi="Arial" w:cs="Arial"/>
                <w:color w:val="000000"/>
              </w:rPr>
              <w:t xml:space="preserve">, O.N., </w:t>
            </w:r>
            <w:proofErr w:type="spellStart"/>
            <w:proofErr w:type="gramStart"/>
            <w:r>
              <w:rPr>
                <w:rFonts w:ascii="Arial" w:eastAsia="Arial" w:hAnsi="Arial" w:cs="Arial"/>
                <w:color w:val="000000"/>
              </w:rPr>
              <w:t>Katz,L</w:t>
            </w:r>
            <w:proofErr w:type="spellEnd"/>
            <w:r>
              <w:rPr>
                <w:rFonts w:ascii="Arial" w:eastAsia="Arial" w:hAnsi="Arial" w:cs="Arial"/>
                <w:color w:val="000000"/>
              </w:rPr>
              <w:t>.</w:t>
            </w:r>
            <w:proofErr w:type="gramEnd"/>
            <w:r>
              <w:rPr>
                <w:rFonts w:ascii="Arial" w:eastAsia="Arial" w:hAnsi="Arial" w:cs="Arial"/>
                <w:color w:val="000000"/>
              </w:rPr>
              <w:t xml:space="preserve"> (2012) Genome-based bioprospecting of microbes for new therapeutics. Current Opinion in Biotechnology. Vol 23, Issue 6, 2012, Pages 941-947.Available at: </w:t>
            </w:r>
            <w:hyperlink r:id="rId24">
              <w:r>
                <w:rPr>
                  <w:rFonts w:ascii="Arial" w:eastAsia="Arial" w:hAnsi="Arial" w:cs="Arial"/>
                  <w:color w:val="000000"/>
                  <w:u w:val="single"/>
                </w:rPr>
                <w:t>https://www.sciencedirect.com/science/article/pii/S095816691200064X?via%3Dihub</w:t>
              </w:r>
            </w:hyperlink>
          </w:p>
          <w:p w14:paraId="596C98EB" w14:textId="77777777" w:rsidR="00814DF0" w:rsidRDefault="00814DF0">
            <w:pPr>
              <w:ind w:left="720"/>
              <w:rPr>
                <w:rFonts w:ascii="Arial" w:eastAsia="Arial" w:hAnsi="Arial" w:cs="Arial"/>
              </w:rPr>
            </w:pPr>
          </w:p>
          <w:p w14:paraId="36335F3D" w14:textId="77777777" w:rsidR="00814DF0" w:rsidRDefault="00814DF0">
            <w:pPr>
              <w:pStyle w:val="Heading1"/>
              <w:keepNext w:val="0"/>
              <w:keepLines w:val="0"/>
              <w:outlineLvl w:val="0"/>
            </w:pPr>
            <w:bookmarkStart w:id="3" w:name="_heading=h.g3tylvqv30b" w:colFirst="0" w:colLast="0"/>
            <w:bookmarkEnd w:id="3"/>
          </w:p>
          <w:p w14:paraId="6BD98844" w14:textId="77777777" w:rsidR="00814DF0" w:rsidRDefault="00814DF0">
            <w:pPr>
              <w:pStyle w:val="Heading1"/>
              <w:keepNext w:val="0"/>
              <w:keepLines w:val="0"/>
              <w:outlineLvl w:val="0"/>
              <w:rPr>
                <w:rFonts w:ascii="Arial" w:eastAsia="Arial" w:hAnsi="Arial" w:cs="Arial"/>
                <w:i/>
                <w:color w:val="505050"/>
                <w:sz w:val="22"/>
                <w:szCs w:val="22"/>
              </w:rPr>
            </w:pPr>
            <w:bookmarkStart w:id="4" w:name="_heading=h.osjpunalevpa" w:colFirst="0" w:colLast="0"/>
            <w:bookmarkEnd w:id="4"/>
          </w:p>
          <w:p w14:paraId="134D8221" w14:textId="77777777" w:rsidR="00814DF0" w:rsidRDefault="00814DF0">
            <w:pPr>
              <w:ind w:right="-330"/>
              <w:rPr>
                <w:rFonts w:ascii="Arial" w:eastAsia="Arial" w:hAnsi="Arial" w:cs="Arial"/>
                <w:b/>
                <w:i/>
              </w:rPr>
            </w:pPr>
          </w:p>
        </w:tc>
      </w:tr>
      <w:tr w:rsidR="00814DF0" w14:paraId="4105A462" w14:textId="77777777">
        <w:tc>
          <w:tcPr>
            <w:tcW w:w="10060" w:type="dxa"/>
          </w:tcPr>
          <w:p w14:paraId="71220423" w14:textId="77777777" w:rsidR="00814DF0" w:rsidRDefault="00814DF0">
            <w:pPr>
              <w:ind w:right="-330"/>
              <w:rPr>
                <w:rFonts w:ascii="Arial" w:eastAsia="Arial" w:hAnsi="Arial" w:cs="Arial"/>
                <w:b/>
                <w:i/>
              </w:rPr>
            </w:pPr>
          </w:p>
        </w:tc>
      </w:tr>
      <w:tr w:rsidR="00814DF0" w14:paraId="1B612778" w14:textId="77777777">
        <w:tc>
          <w:tcPr>
            <w:tcW w:w="10060" w:type="dxa"/>
          </w:tcPr>
          <w:p w14:paraId="10800C36" w14:textId="77777777" w:rsidR="00814DF0" w:rsidRDefault="00814DF0">
            <w:pPr>
              <w:ind w:right="-330"/>
              <w:rPr>
                <w:rFonts w:ascii="Arial" w:eastAsia="Arial" w:hAnsi="Arial" w:cs="Arial"/>
                <w:b/>
                <w:i/>
              </w:rPr>
            </w:pPr>
          </w:p>
        </w:tc>
      </w:tr>
    </w:tbl>
    <w:p w14:paraId="7933F4BE" w14:textId="77777777" w:rsidR="00814DF0" w:rsidRDefault="00814DF0">
      <w:pPr>
        <w:ind w:right="-330"/>
      </w:pPr>
    </w:p>
    <w:p w14:paraId="5941082B" w14:textId="77777777" w:rsidR="00814DF0" w:rsidRDefault="003E40A1">
      <w:pPr>
        <w:ind w:left="-567" w:right="-330"/>
        <w:rPr>
          <w:rFonts w:ascii="Arial" w:eastAsia="Arial" w:hAnsi="Arial" w:cs="Arial"/>
          <w:b/>
          <w:sz w:val="24"/>
          <w:szCs w:val="24"/>
        </w:rPr>
      </w:pPr>
      <w:r>
        <w:rPr>
          <w:rFonts w:ascii="Arial" w:eastAsia="Arial" w:hAnsi="Arial" w:cs="Arial"/>
          <w:b/>
          <w:sz w:val="24"/>
          <w:szCs w:val="24"/>
        </w:rPr>
        <w:t xml:space="preserve">Submission Instructions: </w:t>
      </w:r>
    </w:p>
    <w:p w14:paraId="2EE3503C" w14:textId="77777777" w:rsidR="00814DF0" w:rsidRDefault="003E40A1">
      <w:pPr>
        <w:ind w:left="-567" w:right="-330"/>
        <w:rPr>
          <w:rFonts w:ascii="Arial" w:eastAsia="Arial" w:hAnsi="Arial" w:cs="Arial"/>
          <w:sz w:val="24"/>
          <w:szCs w:val="24"/>
        </w:rPr>
      </w:pPr>
      <w:r>
        <w:rPr>
          <w:rFonts w:ascii="Arial" w:eastAsia="Arial" w:hAnsi="Arial" w:cs="Arial"/>
          <w:sz w:val="24"/>
          <w:szCs w:val="24"/>
        </w:rPr>
        <w:t xml:space="preserve">Please attach the cover sheet to the front of your report and email the report to </w:t>
      </w:r>
      <w:hyperlink r:id="rId25">
        <w:r>
          <w:rPr>
            <w:rFonts w:ascii="Arial" w:eastAsia="Arial" w:hAnsi="Arial" w:cs="Arial"/>
            <w:color w:val="0563C1"/>
            <w:sz w:val="24"/>
            <w:szCs w:val="24"/>
            <w:u w:val="single"/>
          </w:rPr>
          <w:t>studentpartnership@westminster.ac.uk</w:t>
        </w:r>
      </w:hyperlink>
      <w:r>
        <w:rPr>
          <w:rFonts w:ascii="Arial" w:eastAsia="Arial" w:hAnsi="Arial" w:cs="Arial"/>
          <w:sz w:val="24"/>
          <w:szCs w:val="24"/>
        </w:rPr>
        <w:t xml:space="preserve"> by the </w:t>
      </w:r>
      <w:r>
        <w:rPr>
          <w:rFonts w:ascii="Arial" w:eastAsia="Arial" w:hAnsi="Arial" w:cs="Arial"/>
          <w:color w:val="FF0000"/>
          <w:sz w:val="24"/>
          <w:szCs w:val="24"/>
        </w:rPr>
        <w:t>24</w:t>
      </w:r>
      <w:r>
        <w:rPr>
          <w:rFonts w:ascii="Arial" w:eastAsia="Arial" w:hAnsi="Arial" w:cs="Arial"/>
          <w:color w:val="FF0000"/>
          <w:sz w:val="24"/>
          <w:szCs w:val="24"/>
          <w:vertAlign w:val="superscript"/>
        </w:rPr>
        <w:t>th</w:t>
      </w:r>
      <w:r>
        <w:rPr>
          <w:rFonts w:ascii="Arial" w:eastAsia="Arial" w:hAnsi="Arial" w:cs="Arial"/>
          <w:color w:val="FF0000"/>
          <w:sz w:val="24"/>
          <w:szCs w:val="24"/>
        </w:rPr>
        <w:t xml:space="preserve"> July 2019. </w:t>
      </w:r>
    </w:p>
    <w:sectPr w:rsidR="00814DF0">
      <w:footerReference w:type="default" r:id="rId26"/>
      <w:pgSz w:w="11906" w:h="16838"/>
      <w:pgMar w:top="567" w:right="1440" w:bottom="1440" w:left="1440" w:header="708" w:footer="708"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659DC2" w14:textId="77777777" w:rsidR="00692F85" w:rsidRDefault="00692F85">
      <w:pPr>
        <w:spacing w:after="0" w:line="240" w:lineRule="auto"/>
      </w:pPr>
      <w:r>
        <w:separator/>
      </w:r>
    </w:p>
  </w:endnote>
  <w:endnote w:type="continuationSeparator" w:id="0">
    <w:p w14:paraId="0D3B7690" w14:textId="77777777" w:rsidR="00692F85" w:rsidRDefault="00692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STIXGeneral-BoldItalic">
    <w:altName w:val="STIXGeneral"/>
    <w:charset w:val="00"/>
    <w:family w:val="auto"/>
    <w:pitch w:val="variable"/>
    <w:sig w:usb0="A00002BF" w:usb1="42000D4E" w:usb2="02000000" w:usb3="00000000" w:csb0="800001FF" w:csb1="00000000"/>
  </w:font>
  <w:font w:name="Cambria Math">
    <w:panose1 w:val="02040503050406030204"/>
    <w:charset w:val="00"/>
    <w:family w:val="auto"/>
    <w:pitch w:val="variable"/>
    <w:sig w:usb0="E00002FF" w:usb1="420024FF" w:usb2="00000000" w:usb3="00000000" w:csb0="0000019F" w:csb1="00000000"/>
  </w:font>
  <w:font w:name="Roboto">
    <w:altName w:val="Times New Roman"/>
    <w:charset w:val="00"/>
    <w:family w:val="auto"/>
    <w:pitch w:val="default"/>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游明朝">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CEA04" w14:textId="77777777" w:rsidR="00814DF0" w:rsidRDefault="003E40A1">
    <w:pPr>
      <w:pBdr>
        <w:top w:val="nil"/>
        <w:left w:val="nil"/>
        <w:bottom w:val="nil"/>
        <w:right w:val="nil"/>
        <w:between w:val="nil"/>
      </w:pBdr>
      <w:tabs>
        <w:tab w:val="center" w:pos="4513"/>
        <w:tab w:val="right" w:pos="9026"/>
      </w:tabs>
      <w:spacing w:after="0" w:line="240" w:lineRule="auto"/>
      <w:rPr>
        <w:color w:val="000000"/>
      </w:rPr>
    </w:pPr>
    <w:r>
      <w:rPr>
        <w:noProof/>
        <w:lang w:eastAsia="en-GB"/>
      </w:rPr>
      <mc:AlternateContent>
        <mc:Choice Requires="wpg">
          <w:drawing>
            <wp:anchor distT="0" distB="0" distL="114300" distR="114300" simplePos="0" relativeHeight="251658240" behindDoc="0" locked="0" layoutInCell="1" hidden="0" allowOverlap="1" wp14:anchorId="20F6B056" wp14:editId="32D79841">
              <wp:simplePos x="0" y="0"/>
              <wp:positionH relativeFrom="column">
                <wp:posOffset>-723899</wp:posOffset>
              </wp:positionH>
              <wp:positionV relativeFrom="paragraph">
                <wp:posOffset>-228599</wp:posOffset>
              </wp:positionV>
              <wp:extent cx="7553706" cy="738505"/>
              <wp:effectExtent l="0" t="0" r="0" b="0"/>
              <wp:wrapNone/>
              <wp:docPr id="19" name="Rectangle 19"/>
              <wp:cNvGraphicFramePr/>
              <a:graphic xmlns:a="http://schemas.openxmlformats.org/drawingml/2006/main">
                <a:graphicData uri="http://schemas.microsoft.com/office/word/2010/wordprocessingShape">
                  <wps:wsp>
                    <wps:cNvSpPr/>
                    <wps:spPr>
                      <a:xfrm>
                        <a:off x="1578672" y="3420273"/>
                        <a:ext cx="7534656" cy="719455"/>
                      </a:xfrm>
                      <a:prstGeom prst="rect">
                        <a:avLst/>
                      </a:prstGeom>
                      <a:solidFill>
                        <a:srgbClr val="EF037F"/>
                      </a:solidFill>
                      <a:ln>
                        <a:noFill/>
                      </a:ln>
                    </wps:spPr>
                    <wps:txbx>
                      <w:txbxContent>
                        <w:p w14:paraId="217CE914" w14:textId="77777777" w:rsidR="00814DF0" w:rsidRDefault="00814DF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-723899</wp:posOffset>
              </wp:positionH>
              <wp:positionV relativeFrom="paragraph">
                <wp:posOffset>-228599</wp:posOffset>
              </wp:positionV>
              <wp:extent cx="7553706" cy="738505"/>
              <wp:effectExtent b="0" l="0" r="0" t="0"/>
              <wp:wrapNone/>
              <wp:docPr id="19" name="image8.png"/>
              <a:graphic>
                <a:graphicData uri="http://schemas.openxmlformats.org/drawingml/2006/picture">
                  <pic:pic>
                    <pic:nvPicPr>
                      <pic:cNvPr id="0" name="image8.png"/>
                      <pic:cNvPicPr preferRelativeResize="0"/>
                    </pic:nvPicPr>
                    <pic:blipFill>
                      <a:blip r:embed="rId1"/>
                      <a:srcRect/>
                      <a:stretch>
                        <a:fillRect/>
                      </a:stretch>
                    </pic:blipFill>
                    <pic:spPr>
                      <a:xfrm>
                        <a:off x="0" y="0"/>
                        <a:ext cx="7553706" cy="738505"/>
                      </a:xfrm>
                      <a:prstGeom prst="rect"/>
                      <a:ln/>
                    </pic:spPr>
                  </pic:pic>
                </a:graphicData>
              </a:graphic>
            </wp:anchor>
          </w:drawing>
        </mc:Fallback>
      </mc:AlternateContent>
    </w:r>
    <w:r>
      <w:rPr>
        <w:noProof/>
        <w:lang w:eastAsia="en-GB"/>
      </w:rPr>
      <w:drawing>
        <wp:anchor distT="0" distB="0" distL="114300" distR="114300" simplePos="0" relativeHeight="251659264" behindDoc="0" locked="0" layoutInCell="1" hidden="0" allowOverlap="1" wp14:anchorId="13F8CB42" wp14:editId="4A9A6E0E">
          <wp:simplePos x="0" y="0"/>
          <wp:positionH relativeFrom="column">
            <wp:posOffset>-899793</wp:posOffset>
          </wp:positionH>
          <wp:positionV relativeFrom="paragraph">
            <wp:posOffset>-234948</wp:posOffset>
          </wp:positionV>
          <wp:extent cx="5939790" cy="719455"/>
          <wp:effectExtent l="0" t="0" r="0" b="0"/>
          <wp:wrapSquare wrapText="bothSides" distT="0" distB="0" distL="114300" distR="114300"/>
          <wp:docPr id="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
                  <a:srcRect/>
                  <a:stretch>
                    <a:fillRect/>
                  </a:stretch>
                </pic:blipFill>
                <pic:spPr>
                  <a:xfrm>
                    <a:off x="0" y="0"/>
                    <a:ext cx="5939790" cy="719455"/>
                  </a:xfrm>
                  <a:prstGeom prst="rect">
                    <a:avLst/>
                  </a:prstGeom>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5F7368" w14:textId="77777777" w:rsidR="00692F85" w:rsidRDefault="00692F85">
      <w:pPr>
        <w:spacing w:after="0" w:line="240" w:lineRule="auto"/>
      </w:pPr>
      <w:r>
        <w:separator/>
      </w:r>
    </w:p>
  </w:footnote>
  <w:footnote w:type="continuationSeparator" w:id="0">
    <w:p w14:paraId="1FC0467C" w14:textId="77777777" w:rsidR="00692F85" w:rsidRDefault="00692F8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97C10C4"/>
    <w:multiLevelType w:val="multilevel"/>
    <w:tmpl w:val="DDEA16FA"/>
    <w:lvl w:ilvl="0">
      <w:start w:val="1"/>
      <w:numFmt w:val="decimal"/>
      <w:lvlText w:val="%1."/>
      <w:lvlJc w:val="left"/>
      <w:pPr>
        <w:ind w:left="3" w:hanging="570"/>
      </w:pPr>
    </w:lvl>
    <w:lvl w:ilvl="1">
      <w:start w:val="1"/>
      <w:numFmt w:val="lowerLetter"/>
      <w:lvlText w:val="%2."/>
      <w:lvlJc w:val="left"/>
      <w:pPr>
        <w:ind w:left="513" w:hanging="360"/>
      </w:pPr>
    </w:lvl>
    <w:lvl w:ilvl="2">
      <w:start w:val="1"/>
      <w:numFmt w:val="lowerRoman"/>
      <w:lvlText w:val="%3."/>
      <w:lvlJc w:val="right"/>
      <w:pPr>
        <w:ind w:left="1233" w:hanging="180"/>
      </w:pPr>
    </w:lvl>
    <w:lvl w:ilvl="3">
      <w:start w:val="1"/>
      <w:numFmt w:val="decimal"/>
      <w:lvlText w:val="%4."/>
      <w:lvlJc w:val="left"/>
      <w:pPr>
        <w:ind w:left="1953" w:hanging="360"/>
      </w:pPr>
    </w:lvl>
    <w:lvl w:ilvl="4">
      <w:start w:val="1"/>
      <w:numFmt w:val="lowerLetter"/>
      <w:lvlText w:val="%5."/>
      <w:lvlJc w:val="left"/>
      <w:pPr>
        <w:ind w:left="2673" w:hanging="360"/>
      </w:pPr>
    </w:lvl>
    <w:lvl w:ilvl="5">
      <w:start w:val="1"/>
      <w:numFmt w:val="lowerRoman"/>
      <w:lvlText w:val="%6."/>
      <w:lvlJc w:val="right"/>
      <w:pPr>
        <w:ind w:left="3393" w:hanging="180"/>
      </w:pPr>
    </w:lvl>
    <w:lvl w:ilvl="6">
      <w:start w:val="1"/>
      <w:numFmt w:val="decimal"/>
      <w:lvlText w:val="%7."/>
      <w:lvlJc w:val="left"/>
      <w:pPr>
        <w:ind w:left="4113" w:hanging="360"/>
      </w:pPr>
    </w:lvl>
    <w:lvl w:ilvl="7">
      <w:start w:val="1"/>
      <w:numFmt w:val="lowerLetter"/>
      <w:lvlText w:val="%8."/>
      <w:lvlJc w:val="left"/>
      <w:pPr>
        <w:ind w:left="4833" w:hanging="360"/>
      </w:pPr>
    </w:lvl>
    <w:lvl w:ilvl="8">
      <w:start w:val="1"/>
      <w:numFmt w:val="lowerRoman"/>
      <w:lvlText w:val="%9."/>
      <w:lvlJc w:val="right"/>
      <w:pPr>
        <w:ind w:left="5553" w:hanging="180"/>
      </w:pPr>
    </w:lvl>
  </w:abstractNum>
  <w:abstractNum w:abstractNumId="1">
    <w:nsid w:val="7BDB4988"/>
    <w:multiLevelType w:val="multilevel"/>
    <w:tmpl w:val="31BC43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814DF0"/>
    <w:rsid w:val="002A1838"/>
    <w:rsid w:val="003B51BA"/>
    <w:rsid w:val="003E40A1"/>
    <w:rsid w:val="00692F85"/>
    <w:rsid w:val="00814DF0"/>
    <w:rsid w:val="00A619A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26781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7C57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573E"/>
  </w:style>
  <w:style w:type="paragraph" w:styleId="Footer">
    <w:name w:val="footer"/>
    <w:basedOn w:val="Normal"/>
    <w:link w:val="FooterChar"/>
    <w:uiPriority w:val="99"/>
    <w:unhideWhenUsed/>
    <w:rsid w:val="007C57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573E"/>
  </w:style>
  <w:style w:type="table" w:styleId="TableGrid">
    <w:name w:val="Table Grid"/>
    <w:basedOn w:val="TableNormal"/>
    <w:uiPriority w:val="39"/>
    <w:rsid w:val="002F34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F3445"/>
    <w:pPr>
      <w:ind w:left="720"/>
      <w:contextualSpacing/>
    </w:pPr>
  </w:style>
  <w:style w:type="character" w:styleId="Hyperlink">
    <w:name w:val="Hyperlink"/>
    <w:basedOn w:val="DefaultParagraphFont"/>
    <w:uiPriority w:val="99"/>
    <w:unhideWhenUsed/>
    <w:rsid w:val="002C3998"/>
    <w:rPr>
      <w:color w:val="0563C1" w:themeColor="hyperlink"/>
      <w:u w:val="single"/>
    </w:rPr>
  </w:style>
  <w:style w:type="character" w:styleId="CommentReference">
    <w:name w:val="annotation reference"/>
    <w:basedOn w:val="DefaultParagraphFont"/>
    <w:uiPriority w:val="99"/>
    <w:semiHidden/>
    <w:unhideWhenUsed/>
    <w:rsid w:val="00493CDA"/>
    <w:rPr>
      <w:sz w:val="18"/>
      <w:szCs w:val="18"/>
    </w:rPr>
  </w:style>
  <w:style w:type="paragraph" w:styleId="CommentText">
    <w:name w:val="annotation text"/>
    <w:basedOn w:val="Normal"/>
    <w:link w:val="CommentTextChar"/>
    <w:uiPriority w:val="99"/>
    <w:semiHidden/>
    <w:unhideWhenUsed/>
    <w:rsid w:val="00493CDA"/>
    <w:pPr>
      <w:spacing w:line="240" w:lineRule="auto"/>
    </w:pPr>
    <w:rPr>
      <w:sz w:val="24"/>
      <w:szCs w:val="24"/>
    </w:rPr>
  </w:style>
  <w:style w:type="character" w:customStyle="1" w:styleId="CommentTextChar">
    <w:name w:val="Comment Text Char"/>
    <w:basedOn w:val="DefaultParagraphFont"/>
    <w:link w:val="CommentText"/>
    <w:uiPriority w:val="99"/>
    <w:semiHidden/>
    <w:rsid w:val="00493CDA"/>
    <w:rPr>
      <w:sz w:val="24"/>
      <w:szCs w:val="24"/>
    </w:rPr>
  </w:style>
  <w:style w:type="paragraph" w:styleId="CommentSubject">
    <w:name w:val="annotation subject"/>
    <w:basedOn w:val="CommentText"/>
    <w:next w:val="CommentText"/>
    <w:link w:val="CommentSubjectChar"/>
    <w:uiPriority w:val="99"/>
    <w:semiHidden/>
    <w:unhideWhenUsed/>
    <w:rsid w:val="00493CDA"/>
    <w:rPr>
      <w:b/>
      <w:bCs/>
      <w:sz w:val="20"/>
      <w:szCs w:val="20"/>
    </w:rPr>
  </w:style>
  <w:style w:type="character" w:customStyle="1" w:styleId="CommentSubjectChar">
    <w:name w:val="Comment Subject Char"/>
    <w:basedOn w:val="CommentTextChar"/>
    <w:link w:val="CommentSubject"/>
    <w:uiPriority w:val="99"/>
    <w:semiHidden/>
    <w:rsid w:val="00493CDA"/>
    <w:rPr>
      <w:b/>
      <w:bCs/>
      <w:sz w:val="20"/>
      <w:szCs w:val="20"/>
    </w:rPr>
  </w:style>
  <w:style w:type="paragraph" w:styleId="BalloonText">
    <w:name w:val="Balloon Text"/>
    <w:basedOn w:val="Normal"/>
    <w:link w:val="BalloonTextChar"/>
    <w:uiPriority w:val="99"/>
    <w:semiHidden/>
    <w:unhideWhenUsed/>
    <w:rsid w:val="00493CD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93CDA"/>
    <w:rPr>
      <w:rFonts w:ascii="Times New Roman" w:hAnsi="Times New Roman" w:cs="Times New Roman"/>
      <w:sz w:val="18"/>
      <w:szCs w:val="18"/>
    </w:rPr>
  </w:style>
  <w:style w:type="character" w:customStyle="1" w:styleId="UnresolvedMention1">
    <w:name w:val="Unresolved Mention1"/>
    <w:basedOn w:val="DefaultParagraphFont"/>
    <w:uiPriority w:val="99"/>
    <w:rsid w:val="007306E7"/>
    <w:rPr>
      <w:color w:val="605E5C"/>
      <w:shd w:val="clear" w:color="auto" w:fill="E1DFDD"/>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a">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b">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c">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d">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e">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0">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1">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3">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Ind w:w="0" w:type="dxa"/>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hyperlink" Target="https://link.springer.com/article/10.1007/s13280-018-1060-9" TargetMode="External"/><Relationship Id="rId21" Type="http://schemas.openxmlformats.org/officeDocument/2006/relationships/hyperlink" Target="https://dx.doi.org/10.3201/eid2405.171700" TargetMode="External"/><Relationship Id="rId22" Type="http://schemas.openxmlformats.org/officeDocument/2006/relationships/hyperlink" Target="https://doi.org/10.1155/2011/670349" TargetMode="External"/><Relationship Id="rId23" Type="http://schemas.openxmlformats.org/officeDocument/2006/relationships/hyperlink" Target="https://doi.org/10.1007/s10886-013-0316-x" TargetMode="External"/><Relationship Id="rId24" Type="http://schemas.openxmlformats.org/officeDocument/2006/relationships/hyperlink" Target="https://www.sciencedirect.com/science/article/pii/S095816691200064X?via%3Dihub" TargetMode="External"/><Relationship Id="rId25" Type="http://schemas.openxmlformats.org/officeDocument/2006/relationships/hyperlink" Target="mailto:studentpartnership@westminster.ac.uk" TargetMode="External"/><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s://twitter.com/Antibiotics_Sea" TargetMode="External"/><Relationship Id="rId11" Type="http://schemas.openxmlformats.org/officeDocument/2006/relationships/hyperlink" Target="https://twitter.com/Antibiotics_Sea" TargetMode="External"/><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s://www.sciencedirect.com/science/article/pii/S0740002016000228" TargetMode="External"/><Relationship Id="rId18" Type="http://schemas.openxmlformats.org/officeDocument/2006/relationships/hyperlink" Target="https://onlinelibrary.wiley.com/doi/full/10.1111/j.1751-7915.2010.00188.x" TargetMode="External"/><Relationship Id="rId19" Type="http://schemas.openxmlformats.org/officeDocument/2006/relationships/hyperlink" Target="https://www.sciencedirect.com/science/article/pii/S014111361630112X?via%3Dihub"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wcMNRfiS8E9MqH4Lo2ZJoVfikRw==">AMUW2mVV27n51GsN7XoKUEV/49zt820jIVgxyntISJuXMoYQ2zQ6PPIJKOxRp025QaXCc/hNWhnKPdK6tK8IB9NgeFjXvGGQ6G+0X2Y8NxIc4AUL5zkMg0t15sUYooyggOXWG6Ks4ZHpU8142smBoSIZT11B0gVg1OaFj0JR9K00eMzVIqXf49kBgJnJW6FXjVtpf8oP5pa+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4739</Words>
  <Characters>27018</Characters>
  <Application>Microsoft Macintosh Word</Application>
  <DocSecurity>0</DocSecurity>
  <Lines>225</Lines>
  <Paragraphs>63</Paragraphs>
  <ScaleCrop>false</ScaleCrop>
  <Company>University of Westminster</Company>
  <LinksUpToDate>false</LinksUpToDate>
  <CharactersWithSpaces>31694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Moonisah Usman</dc:creator>
  <cp:lastModifiedBy>Microsoft Office User</cp:lastModifiedBy>
  <cp:revision>2</cp:revision>
  <dcterms:created xsi:type="dcterms:W3CDTF">2019-10-04T17:03:00Z</dcterms:created>
  <dcterms:modified xsi:type="dcterms:W3CDTF">2019-10-04T17:03:00Z</dcterms:modified>
</cp:coreProperties>
</file>